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50F4" w14:textId="356E9364" w:rsidR="003C3A4F" w:rsidRDefault="005B3560" w:rsidP="00B62306">
      <w:pPr>
        <w:pStyle w:val="Heading1"/>
        <w:spacing w:line="360" w:lineRule="auto"/>
      </w:pPr>
      <w:r>
        <w:t>Social Care Research Capacity Development Programme (ASCENT)</w:t>
      </w:r>
    </w:p>
    <w:p w14:paraId="4DA845BD" w14:textId="6CB5E6D3" w:rsidR="00B46B26" w:rsidRDefault="005B3560" w:rsidP="003C3A4F">
      <w:pPr>
        <w:pStyle w:val="Heading2"/>
      </w:pPr>
      <w:r>
        <w:t xml:space="preserve">Public </w:t>
      </w:r>
      <w:r w:rsidR="003C3A4F">
        <w:t>E</w:t>
      </w:r>
      <w:r>
        <w:t xml:space="preserve">ngagement </w:t>
      </w:r>
      <w:r w:rsidR="003C3A4F">
        <w:t>W</w:t>
      </w:r>
      <w:r>
        <w:t>orkshops</w:t>
      </w:r>
    </w:p>
    <w:p w14:paraId="0FECEBE1" w14:textId="4B60E919" w:rsidR="007956A7" w:rsidRDefault="007956A7" w:rsidP="003C3A4F">
      <w:pPr>
        <w:pStyle w:val="Heading3"/>
      </w:pPr>
      <w:r>
        <w:t xml:space="preserve">Introduction </w:t>
      </w:r>
    </w:p>
    <w:p w14:paraId="29B8EC14" w14:textId="483104E8" w:rsidR="00B46B26" w:rsidRDefault="007D1A70" w:rsidP="00B62306">
      <w:pPr>
        <w:spacing w:line="360" w:lineRule="auto"/>
      </w:pPr>
      <w:r w:rsidRPr="007D1A70">
        <w:t xml:space="preserve">As part of the Social Care Research Capacity Development programme, we organised </w:t>
      </w:r>
      <w:r w:rsidR="00CE45F1">
        <w:t xml:space="preserve">two </w:t>
      </w:r>
      <w:r w:rsidRPr="007D1A70">
        <w:t>workshops with people who access care</w:t>
      </w:r>
      <w:r w:rsidR="00C55012">
        <w:t xml:space="preserve">, </w:t>
      </w:r>
      <w:r w:rsidR="00CE45F1">
        <w:t>c</w:t>
      </w:r>
      <w:r w:rsidRPr="007D1A70">
        <w:t>arers and members of the public</w:t>
      </w:r>
      <w:r>
        <w:t xml:space="preserve"> </w:t>
      </w:r>
      <w:r w:rsidR="001B7DE1">
        <w:t>(</w:t>
      </w:r>
      <w:r w:rsidR="00B46B26">
        <w:t>20</w:t>
      </w:r>
      <w:r w:rsidR="00F9519A">
        <w:t>/</w:t>
      </w:r>
      <w:r w:rsidR="001B7DE1">
        <w:t>02</w:t>
      </w:r>
      <w:r w:rsidR="00F9519A">
        <w:t>/</w:t>
      </w:r>
      <w:r w:rsidR="00B46B26">
        <w:t>2025</w:t>
      </w:r>
      <w:r w:rsidR="001B7DE1">
        <w:t>)</w:t>
      </w:r>
      <w:r w:rsidR="00B46B26">
        <w:t xml:space="preserve"> and </w:t>
      </w:r>
      <w:r w:rsidR="001B7DE1">
        <w:t>0</w:t>
      </w:r>
      <w:r w:rsidR="00456A74">
        <w:t>3</w:t>
      </w:r>
      <w:r w:rsidR="00F9519A">
        <w:t>/</w:t>
      </w:r>
      <w:r w:rsidR="001B7DE1">
        <w:t>03</w:t>
      </w:r>
      <w:r w:rsidR="00F9519A">
        <w:t>/</w:t>
      </w:r>
      <w:r w:rsidR="00456A74">
        <w:t>2025</w:t>
      </w:r>
      <w:r w:rsidR="001B7DE1">
        <w:t>)</w:t>
      </w:r>
      <w:r>
        <w:t>.</w:t>
      </w:r>
      <w:r w:rsidR="00CE45F1">
        <w:t xml:space="preserve"> A total of </w:t>
      </w:r>
      <w:r w:rsidR="0043465B">
        <w:t>seven</w:t>
      </w:r>
      <w:r w:rsidR="00CE45F1">
        <w:t xml:space="preserve"> individuals attended the two workshops.</w:t>
      </w:r>
      <w:r w:rsidR="00883B73">
        <w:t xml:space="preserve"> </w:t>
      </w:r>
      <w:r w:rsidR="00C21717">
        <w:t xml:space="preserve">Participants were people who access adult social care, carers and public contributors. </w:t>
      </w:r>
      <w:r w:rsidR="000B494E">
        <w:t xml:space="preserve">Five out of seven participants have also participated in the </w:t>
      </w:r>
      <w:r w:rsidR="00851A16">
        <w:t>‘</w:t>
      </w:r>
      <w:r w:rsidR="000B494E">
        <w:t xml:space="preserve">Social Care </w:t>
      </w:r>
      <w:r w:rsidR="002E13A0">
        <w:t xml:space="preserve">Research In Practice </w:t>
      </w:r>
      <w:r w:rsidR="00851A16">
        <w:t xml:space="preserve">Teams’ </w:t>
      </w:r>
      <w:r w:rsidR="002E13A0">
        <w:t xml:space="preserve">(SCRiPT) study. </w:t>
      </w:r>
    </w:p>
    <w:p w14:paraId="26C8DEC2" w14:textId="70563644" w:rsidR="007D1A70" w:rsidRDefault="007D1A70" w:rsidP="00B62306">
      <w:pPr>
        <w:pStyle w:val="Heading3"/>
        <w:spacing w:line="360" w:lineRule="auto"/>
      </w:pPr>
      <w:r>
        <w:t>What was the purpose of the workshops?</w:t>
      </w:r>
    </w:p>
    <w:p w14:paraId="5C34C447" w14:textId="1AD6B94A" w:rsidR="000D0DBB" w:rsidRDefault="007956A7" w:rsidP="00B62306">
      <w:pPr>
        <w:spacing w:line="360" w:lineRule="auto"/>
      </w:pPr>
      <w:r w:rsidRPr="007956A7">
        <w:t xml:space="preserve">The purpose of </w:t>
      </w:r>
      <w:r w:rsidR="005B3560">
        <w:t xml:space="preserve">the two </w:t>
      </w:r>
      <w:r w:rsidRPr="007956A7">
        <w:t>workshop</w:t>
      </w:r>
      <w:r w:rsidR="005B3560">
        <w:t>s</w:t>
      </w:r>
      <w:r w:rsidRPr="007956A7">
        <w:t xml:space="preserve"> </w:t>
      </w:r>
      <w:r w:rsidR="005B3560">
        <w:t xml:space="preserve">was </w:t>
      </w:r>
      <w:r w:rsidRPr="007956A7">
        <w:t>to understand more about people's experience with adult care services</w:t>
      </w:r>
      <w:r w:rsidR="00C55012">
        <w:t xml:space="preserve"> and create a link with our work on research capacity development. </w:t>
      </w:r>
    </w:p>
    <w:p w14:paraId="3B744886" w14:textId="2D8A6610" w:rsidR="000D0DBB" w:rsidRPr="007956A7" w:rsidRDefault="00AF2D4E" w:rsidP="00B62306">
      <w:pPr>
        <w:spacing w:line="360" w:lineRule="auto"/>
      </w:pPr>
      <w:r>
        <w:t>D</w:t>
      </w:r>
      <w:r w:rsidR="00C1656A" w:rsidRPr="00C1656A">
        <w:t>elivering research and using research evidence in adult social care can improve the quality of services</w:t>
      </w:r>
      <w:r w:rsidR="00C1656A">
        <w:t xml:space="preserve">. </w:t>
      </w:r>
      <w:r w:rsidR="000D0DBB" w:rsidRPr="000D0DBB">
        <w:t>We can support adult social care in different ways</w:t>
      </w:r>
      <w:r w:rsidR="008C5B37">
        <w:t xml:space="preserve"> to benefit from research</w:t>
      </w:r>
      <w:r w:rsidR="000D0DBB" w:rsidRPr="000D0DBB">
        <w:t>, for example: teaching staff new skills, accessing research evidence, evaluating services</w:t>
      </w:r>
      <w:r w:rsidR="000D0DBB">
        <w:t xml:space="preserve">. </w:t>
      </w:r>
      <w:r w:rsidR="00347DA9" w:rsidRPr="00347DA9">
        <w:t xml:space="preserve">This work we are doing with adult social care is called ‘research capacity </w:t>
      </w:r>
      <w:r w:rsidR="007C655D">
        <w:t>development’</w:t>
      </w:r>
      <w:r w:rsidR="00347DA9">
        <w:t xml:space="preserve">. </w:t>
      </w:r>
      <w:r w:rsidR="000D0DBB" w:rsidRPr="000D0DBB">
        <w:t xml:space="preserve">This is a new topic studied in adult social care. As a result, we don’t know </w:t>
      </w:r>
      <w:r w:rsidR="00F065B1">
        <w:t>enough about</w:t>
      </w:r>
      <w:r w:rsidR="000D0DBB" w:rsidRPr="000D0DBB">
        <w:t xml:space="preserve"> how people’s experiences can shape priorities around research</w:t>
      </w:r>
      <w:r w:rsidR="000D0DBB">
        <w:t xml:space="preserve">. </w:t>
      </w:r>
      <w:r w:rsidR="00347DA9">
        <w:t>F</w:t>
      </w:r>
      <w:r w:rsidR="000D0DBB" w:rsidRPr="000D0DBB">
        <w:t xml:space="preserve">eedback </w:t>
      </w:r>
      <w:r w:rsidR="00347DA9">
        <w:t xml:space="preserve">from workshop attendees </w:t>
      </w:r>
      <w:r w:rsidR="000D0DBB" w:rsidRPr="000D0DBB">
        <w:t>hel</w:t>
      </w:r>
      <w:r w:rsidR="00347DA9">
        <w:t>ped</w:t>
      </w:r>
      <w:r w:rsidR="000D0DBB" w:rsidRPr="000D0DBB">
        <w:t xml:space="preserve"> us</w:t>
      </w:r>
      <w:r w:rsidR="0048377C">
        <w:t xml:space="preserve"> begin creating </w:t>
      </w:r>
      <w:r w:rsidR="000D0DBB" w:rsidRPr="000D0DBB">
        <w:t>a link between the experience of adult social care and the ability of services to deliver and use research</w:t>
      </w:r>
      <w:r w:rsidR="000D0DBB">
        <w:t xml:space="preserve">. </w:t>
      </w:r>
    </w:p>
    <w:p w14:paraId="6BE9A141" w14:textId="0BF2BDD6" w:rsidR="00AE5F0E" w:rsidRDefault="00C1656A" w:rsidP="00CA763B">
      <w:pPr>
        <w:spacing w:line="360" w:lineRule="auto"/>
      </w:pPr>
      <w:r>
        <w:t xml:space="preserve">The </w:t>
      </w:r>
      <w:r w:rsidR="007956A7" w:rsidRPr="007956A7">
        <w:t>workshop</w:t>
      </w:r>
      <w:r w:rsidR="0048377C">
        <w:t xml:space="preserve">s were </w:t>
      </w:r>
      <w:r w:rsidR="007956A7" w:rsidRPr="007956A7">
        <w:t xml:space="preserve">part of our project which is called ASCENT (a 2-year </w:t>
      </w:r>
      <w:r w:rsidR="00B764F1">
        <w:t>NIHR funded programme</w:t>
      </w:r>
      <w:r w:rsidR="00787247">
        <w:t xml:space="preserve">), </w:t>
      </w:r>
      <w:r w:rsidR="007956A7" w:rsidRPr="007956A7">
        <w:t>focus</w:t>
      </w:r>
      <w:r w:rsidR="00787247">
        <w:t>ing</w:t>
      </w:r>
      <w:r w:rsidR="007956A7" w:rsidRPr="007956A7">
        <w:t xml:space="preserve"> on research capacity </w:t>
      </w:r>
      <w:r w:rsidR="007C655D">
        <w:t xml:space="preserve">development </w:t>
      </w:r>
      <w:r w:rsidR="007956A7" w:rsidRPr="007956A7">
        <w:t xml:space="preserve">in social care. </w:t>
      </w:r>
    </w:p>
    <w:p w14:paraId="491CC590" w14:textId="26B5445A" w:rsidR="00AE5F0E" w:rsidRDefault="00AE5F0E" w:rsidP="00CA763B">
      <w:pPr>
        <w:pStyle w:val="Heading3"/>
        <w:spacing w:line="360" w:lineRule="auto"/>
      </w:pPr>
      <w:r>
        <w:t xml:space="preserve">Next steps: </w:t>
      </w:r>
    </w:p>
    <w:p w14:paraId="4B42D1E3" w14:textId="19CFD422" w:rsidR="00AE5F0E" w:rsidRDefault="00AE5F0E" w:rsidP="00054AFB">
      <w:pPr>
        <w:pStyle w:val="ListParagraph"/>
        <w:numPr>
          <w:ilvl w:val="0"/>
          <w:numId w:val="5"/>
        </w:numPr>
        <w:spacing w:line="360" w:lineRule="auto"/>
      </w:pPr>
      <w:r>
        <w:t xml:space="preserve">Key summary points will be shared with </w:t>
      </w:r>
      <w:r w:rsidR="002D5914">
        <w:t xml:space="preserve">collaborating County Councils across the East of England region. </w:t>
      </w:r>
      <w:r w:rsidR="00054AFB">
        <w:t xml:space="preserve">The ASCENT Researchers-in-Residence will support with dissemination. </w:t>
      </w:r>
    </w:p>
    <w:p w14:paraId="4C0F92E9" w14:textId="30B08BEB" w:rsidR="00AE5F0E" w:rsidRPr="003C3A4F" w:rsidRDefault="00054AFB" w:rsidP="003C3A4F">
      <w:pPr>
        <w:pStyle w:val="ListParagraph"/>
        <w:numPr>
          <w:ilvl w:val="0"/>
          <w:numId w:val="5"/>
        </w:numPr>
        <w:spacing w:line="360" w:lineRule="auto"/>
      </w:pPr>
      <w:r>
        <w:t>Key points will be used to guide our next workshop (</w:t>
      </w:r>
      <w:r w:rsidR="00B764F1">
        <w:t xml:space="preserve">provisional date: </w:t>
      </w:r>
      <w:r w:rsidR="0049034D">
        <w:t>September</w:t>
      </w:r>
      <w:r>
        <w:t xml:space="preserve"> 2025)</w:t>
      </w:r>
      <w:r w:rsidR="001B7DE1">
        <w:t xml:space="preserve"> and the work of the ASCENT programme.</w:t>
      </w:r>
      <w:r w:rsidR="00AE5F0E">
        <w:br w:type="page"/>
      </w:r>
    </w:p>
    <w:p w14:paraId="486173A2" w14:textId="4B88F6A2" w:rsidR="00060C77" w:rsidRDefault="0015390D" w:rsidP="00C072AF">
      <w:pPr>
        <w:pStyle w:val="Heading2"/>
        <w:spacing w:line="360" w:lineRule="auto"/>
      </w:pPr>
      <w:r>
        <w:lastRenderedPageBreak/>
        <w:t>Key summary points</w:t>
      </w:r>
    </w:p>
    <w:p w14:paraId="31C422C2" w14:textId="77777777" w:rsidR="003C3743" w:rsidRDefault="00AD7F3A" w:rsidP="00AD7F3A">
      <w:pPr>
        <w:spacing w:line="360" w:lineRule="auto"/>
      </w:pPr>
      <w:r>
        <w:t>Key summary points identified in the two workshops highlighted areas where research is relevant and useful to improving care and people’s quality of life. The workshop</w:t>
      </w:r>
      <w:r w:rsidR="00015C50">
        <w:t>s</w:t>
      </w:r>
      <w:r>
        <w:t xml:space="preserve"> </w:t>
      </w:r>
      <w:r w:rsidR="00015C50">
        <w:t xml:space="preserve">also </w:t>
      </w:r>
      <w:r>
        <w:t>created opportunities to raise wider challenging issues in the quality and delivery of adult social care.</w:t>
      </w:r>
    </w:p>
    <w:p w14:paraId="657E032D" w14:textId="6133DCFB" w:rsidR="00F826EE" w:rsidRDefault="00AD7F3A" w:rsidP="00482881">
      <w:pPr>
        <w:spacing w:line="360" w:lineRule="auto"/>
      </w:pPr>
      <w:r>
        <w:t>Specifically</w:t>
      </w:r>
      <w:r w:rsidR="0049034D">
        <w:t>,</w:t>
      </w:r>
      <w:r w:rsidR="003C3743">
        <w:t xml:space="preserve"> p</w:t>
      </w:r>
      <w:r w:rsidR="00F826EE">
        <w:t xml:space="preserve">articipants suggested that evaluating organisational aspects of care can contribute to understanding and improving the quality of care. Key </w:t>
      </w:r>
      <w:r w:rsidR="008805BA">
        <w:t>recommendations</w:t>
      </w:r>
      <w:r w:rsidR="00F826EE">
        <w:t xml:space="preserve"> include: </w:t>
      </w:r>
    </w:p>
    <w:p w14:paraId="2E4CBD46" w14:textId="2E989DBB" w:rsidR="00F826EE" w:rsidRDefault="00F826EE" w:rsidP="00F826EE">
      <w:pPr>
        <w:pStyle w:val="ListParagraph"/>
        <w:numPr>
          <w:ilvl w:val="0"/>
          <w:numId w:val="3"/>
        </w:numPr>
        <w:spacing w:line="360" w:lineRule="auto"/>
      </w:pPr>
      <w:r>
        <w:t xml:space="preserve">To </w:t>
      </w:r>
      <w:r w:rsidR="008805BA">
        <w:t>re</w:t>
      </w:r>
      <w:r>
        <w:t xml:space="preserve">view existing processes regarding care delivery and assess </w:t>
      </w:r>
      <w:r w:rsidR="00C4675A">
        <w:t>how</w:t>
      </w:r>
      <w:r>
        <w:t xml:space="preserve"> meaningful </w:t>
      </w:r>
      <w:r w:rsidR="00C4675A">
        <w:t>they are</w:t>
      </w:r>
      <w:r w:rsidR="00E400EA">
        <w:t xml:space="preserve"> </w:t>
      </w:r>
      <w:r>
        <w:t>for people who access care, as well as cost-effective for social care, e.g., reviewing permanent health conditions annually.</w:t>
      </w:r>
    </w:p>
    <w:p w14:paraId="5105FDCC" w14:textId="40D5775E" w:rsidR="00F826EE" w:rsidRDefault="00F826EE" w:rsidP="00F826EE">
      <w:pPr>
        <w:pStyle w:val="ListParagraph"/>
        <w:numPr>
          <w:ilvl w:val="0"/>
          <w:numId w:val="3"/>
        </w:numPr>
        <w:spacing w:line="360" w:lineRule="auto"/>
      </w:pPr>
      <w:r>
        <w:t>Th</w:t>
      </w:r>
      <w:r w:rsidR="00E400EA">
        <w:t>e</w:t>
      </w:r>
      <w:r>
        <w:t xml:space="preserve"> recommendation also applies to the wider system of care; navigating across the health and social care system remains complicated, becom</w:t>
      </w:r>
      <w:r w:rsidR="00D87E8C">
        <w:t>ing</w:t>
      </w:r>
      <w:r>
        <w:t xml:space="preserve"> a barrier to accessing care in a timely manner.</w:t>
      </w:r>
      <w:r w:rsidR="00E400EA">
        <w:t xml:space="preserve"> Evaluation </w:t>
      </w:r>
      <w:r w:rsidR="00B56018">
        <w:t xml:space="preserve">inter-organisational processes </w:t>
      </w:r>
      <w:r w:rsidR="00E400EA">
        <w:t xml:space="preserve">could </w:t>
      </w:r>
      <w:r w:rsidR="00B56018">
        <w:t>improve accessibility.</w:t>
      </w:r>
    </w:p>
    <w:p w14:paraId="713A528E" w14:textId="17B13D40" w:rsidR="00F826EE" w:rsidRPr="00F826EE" w:rsidRDefault="00F826EE" w:rsidP="00F826EE">
      <w:pPr>
        <w:pStyle w:val="ListParagraph"/>
        <w:numPr>
          <w:ilvl w:val="0"/>
          <w:numId w:val="3"/>
        </w:numPr>
        <w:spacing w:line="360" w:lineRule="auto"/>
      </w:pPr>
      <w:r>
        <w:t xml:space="preserve">To assess the relationship between wages and retention of staff members in social care. </w:t>
      </w:r>
    </w:p>
    <w:p w14:paraId="5D9DDFAC" w14:textId="4A236BEF" w:rsidR="00060C77" w:rsidRDefault="00060C77" w:rsidP="00482881">
      <w:pPr>
        <w:spacing w:line="360" w:lineRule="auto"/>
      </w:pPr>
      <w:r>
        <w:t xml:space="preserve">Discussing about the value of </w:t>
      </w:r>
      <w:r w:rsidR="00784207">
        <w:t xml:space="preserve">research </w:t>
      </w:r>
      <w:r>
        <w:t xml:space="preserve">evidence in making decisions about care, attendees gave </w:t>
      </w:r>
      <w:r w:rsidR="00B5383C">
        <w:t>positive</w:t>
      </w:r>
      <w:r>
        <w:t xml:space="preserve"> responses</w:t>
      </w:r>
      <w:r w:rsidR="00B5383C">
        <w:t>, while there was some scepticism regarding change</w:t>
      </w:r>
      <w:r w:rsidR="00784207">
        <w:t>. They said:</w:t>
      </w:r>
    </w:p>
    <w:p w14:paraId="257DE18C" w14:textId="718A7B17" w:rsidR="00060C77" w:rsidRPr="00CE461F" w:rsidRDefault="00873864" w:rsidP="00060C77">
      <w:pPr>
        <w:pStyle w:val="ListParagraph"/>
        <w:numPr>
          <w:ilvl w:val="0"/>
          <w:numId w:val="9"/>
        </w:numPr>
        <w:spacing w:line="360" w:lineRule="auto"/>
      </w:pPr>
      <w:r>
        <w:t>S</w:t>
      </w:r>
      <w:r w:rsidR="00060C77" w:rsidRPr="00CE461F">
        <w:t xml:space="preserve">uggested changes backed by strong evidence and clear rationale </w:t>
      </w:r>
      <w:r>
        <w:t xml:space="preserve">are </w:t>
      </w:r>
      <w:r w:rsidR="00060C77" w:rsidRPr="00CE461F">
        <w:t>more likely to be well received.</w:t>
      </w:r>
    </w:p>
    <w:p w14:paraId="7E03F663" w14:textId="71216A83" w:rsidR="00784207" w:rsidRDefault="00060C77" w:rsidP="00784207">
      <w:pPr>
        <w:pStyle w:val="ListParagraph"/>
        <w:numPr>
          <w:ilvl w:val="0"/>
          <w:numId w:val="9"/>
        </w:numPr>
        <w:spacing w:line="360" w:lineRule="auto"/>
      </w:pPr>
      <w:r w:rsidRPr="00412C6E">
        <w:t>Using research evidence to justify changes in service provision will be welcomed because it would be a reliable way to explain service provision or changes in care.</w:t>
      </w:r>
    </w:p>
    <w:p w14:paraId="28408ACA" w14:textId="6376EA39" w:rsidR="00873864" w:rsidRDefault="00873864" w:rsidP="00873864">
      <w:pPr>
        <w:pStyle w:val="ListParagraph"/>
        <w:numPr>
          <w:ilvl w:val="0"/>
          <w:numId w:val="9"/>
        </w:numPr>
        <w:spacing w:line="360" w:lineRule="auto"/>
      </w:pPr>
      <w:r w:rsidRPr="00CE461F">
        <w:t xml:space="preserve">Updating planned care in the light of new evidence can be seen with scepticism, as it may have taken a lot of time to </w:t>
      </w:r>
      <w:r>
        <w:t xml:space="preserve">agree on </w:t>
      </w:r>
      <w:r w:rsidRPr="00CE461F">
        <w:t>receiv</w:t>
      </w:r>
      <w:r>
        <w:t>ing</w:t>
      </w:r>
      <w:r w:rsidRPr="00CE461F">
        <w:t xml:space="preserve"> the services needed. </w:t>
      </w:r>
    </w:p>
    <w:p w14:paraId="5AF621C7" w14:textId="21411C9B" w:rsidR="00060C77" w:rsidRDefault="00482881" w:rsidP="00015C50">
      <w:pPr>
        <w:spacing w:line="360" w:lineRule="auto"/>
      </w:pPr>
      <w:r>
        <w:t>Workshop participants</w:t>
      </w:r>
      <w:r w:rsidR="00060C77">
        <w:t xml:space="preserve"> also gave examples</w:t>
      </w:r>
      <w:r w:rsidR="00AE20AF">
        <w:t>,</w:t>
      </w:r>
      <w:r w:rsidR="00060C77">
        <w:t xml:space="preserve"> where new evidence and technology could be used to improve the quality of car</w:t>
      </w:r>
      <w:r w:rsidR="008D75EF">
        <w:t>e, those included</w:t>
      </w:r>
      <w:r w:rsidR="00060C77">
        <w:t xml:space="preserve">: </w:t>
      </w:r>
    </w:p>
    <w:p w14:paraId="2F7AA5FD" w14:textId="77777777" w:rsidR="00060C77" w:rsidRPr="00161473" w:rsidRDefault="00060C77" w:rsidP="00060C77">
      <w:pPr>
        <w:pStyle w:val="ListParagraph"/>
        <w:numPr>
          <w:ilvl w:val="0"/>
          <w:numId w:val="8"/>
        </w:numPr>
        <w:spacing w:line="360" w:lineRule="auto"/>
      </w:pPr>
      <w:r w:rsidRPr="00161473">
        <w:t>Training on new technologies to assist care givers.</w:t>
      </w:r>
    </w:p>
    <w:p w14:paraId="0F3E9475" w14:textId="77777777" w:rsidR="00060C77" w:rsidRPr="00161473" w:rsidRDefault="00060C77" w:rsidP="00060C77">
      <w:pPr>
        <w:pStyle w:val="ListParagraph"/>
        <w:numPr>
          <w:ilvl w:val="0"/>
          <w:numId w:val="8"/>
        </w:numPr>
        <w:spacing w:line="360" w:lineRule="auto"/>
      </w:pPr>
      <w:r w:rsidRPr="00161473">
        <w:t>Interventions to enable people to spend less time in bed.</w:t>
      </w:r>
    </w:p>
    <w:p w14:paraId="6ED21329" w14:textId="77777777" w:rsidR="00060C77" w:rsidRPr="00161473" w:rsidRDefault="00060C77" w:rsidP="00060C77">
      <w:pPr>
        <w:pStyle w:val="ListParagraph"/>
        <w:numPr>
          <w:ilvl w:val="0"/>
          <w:numId w:val="8"/>
        </w:numPr>
        <w:spacing w:line="360" w:lineRule="auto"/>
      </w:pPr>
      <w:r w:rsidRPr="00161473">
        <w:t>Regular feedback mechanisms about the quality of services.</w:t>
      </w:r>
    </w:p>
    <w:p w14:paraId="0C35F0C0" w14:textId="77777777" w:rsidR="00060C77" w:rsidRPr="00161473" w:rsidRDefault="00060C77" w:rsidP="00060C77">
      <w:pPr>
        <w:pStyle w:val="ListParagraph"/>
        <w:numPr>
          <w:ilvl w:val="0"/>
          <w:numId w:val="8"/>
        </w:numPr>
        <w:spacing w:line="360" w:lineRule="auto"/>
      </w:pPr>
      <w:r w:rsidRPr="00161473">
        <w:t>Understanding the demographic characteristics of people who access care in each county and aim to match population need with offered care.</w:t>
      </w:r>
    </w:p>
    <w:p w14:paraId="1C7A4728" w14:textId="5A3189A1" w:rsidR="00060C77" w:rsidRDefault="00060C77" w:rsidP="008D75EF">
      <w:pPr>
        <w:pStyle w:val="ListParagraph"/>
        <w:numPr>
          <w:ilvl w:val="0"/>
          <w:numId w:val="8"/>
        </w:numPr>
        <w:spacing w:line="360" w:lineRule="auto"/>
      </w:pPr>
      <w:r>
        <w:lastRenderedPageBreak/>
        <w:t xml:space="preserve">Use evidence to demonstrate the relationship between the </w:t>
      </w:r>
      <w:r w:rsidRPr="00B05318">
        <w:t>affordab</w:t>
      </w:r>
      <w:r>
        <w:t>ility of new intervention and contribution to people’s life</w:t>
      </w:r>
      <w:r w:rsidRPr="00B05318">
        <w:t xml:space="preserve">. For example, </w:t>
      </w:r>
      <w:r>
        <w:t xml:space="preserve">several types of </w:t>
      </w:r>
      <w:r w:rsidRPr="00B05318">
        <w:t xml:space="preserve">technology </w:t>
      </w:r>
      <w:r>
        <w:t xml:space="preserve">may be costly, but can </w:t>
      </w:r>
      <w:r w:rsidRPr="00B05318">
        <w:t xml:space="preserve">lead to </w:t>
      </w:r>
      <w:r>
        <w:t xml:space="preserve">major positive </w:t>
      </w:r>
      <w:r w:rsidRPr="00B05318">
        <w:t xml:space="preserve">change </w:t>
      </w:r>
      <w:r>
        <w:t xml:space="preserve">in people’s </w:t>
      </w:r>
      <w:r w:rsidRPr="00B05318">
        <w:t>life.</w:t>
      </w:r>
    </w:p>
    <w:p w14:paraId="1A0879DD" w14:textId="77777777" w:rsidR="00060C77" w:rsidRDefault="00060C77" w:rsidP="008D75EF">
      <w:pPr>
        <w:spacing w:line="360" w:lineRule="auto"/>
      </w:pPr>
      <w:r>
        <w:t xml:space="preserve">Discussing about participating in research projects, attendees said: </w:t>
      </w:r>
    </w:p>
    <w:p w14:paraId="41B9CE09" w14:textId="77777777" w:rsidR="00060C77" w:rsidRDefault="00060C77" w:rsidP="00060C77">
      <w:pPr>
        <w:pStyle w:val="ListParagraph"/>
        <w:numPr>
          <w:ilvl w:val="0"/>
          <w:numId w:val="10"/>
        </w:numPr>
        <w:spacing w:line="360" w:lineRule="auto"/>
      </w:pPr>
      <w:r>
        <w:t>Offering a small incentive to study participants demonstrated appreciation to their time.</w:t>
      </w:r>
    </w:p>
    <w:p w14:paraId="6808443B" w14:textId="23E07AD5" w:rsidR="00F84565" w:rsidRDefault="00060C77" w:rsidP="00015C50">
      <w:pPr>
        <w:pStyle w:val="ListParagraph"/>
        <w:numPr>
          <w:ilvl w:val="0"/>
          <w:numId w:val="10"/>
        </w:numPr>
        <w:spacing w:line="360" w:lineRule="auto"/>
      </w:pPr>
      <w:r w:rsidRPr="00F40185">
        <w:t xml:space="preserve">It's important to consider the </w:t>
      </w:r>
      <w:r>
        <w:t>participants’</w:t>
      </w:r>
      <w:r w:rsidRPr="00F40185">
        <w:t xml:space="preserve"> characteristics</w:t>
      </w:r>
      <w:r>
        <w:t xml:space="preserve">; for example, the east of online or face-to-face sessions, accessibility, digital literacy, travel needs. </w:t>
      </w:r>
    </w:p>
    <w:p w14:paraId="054D213A" w14:textId="3195255F" w:rsidR="00132605" w:rsidRPr="00F84565" w:rsidRDefault="00132605" w:rsidP="00132605">
      <w:pPr>
        <w:pStyle w:val="ListParagraph"/>
        <w:numPr>
          <w:ilvl w:val="0"/>
          <w:numId w:val="10"/>
        </w:numPr>
        <w:spacing w:line="360" w:lineRule="auto"/>
      </w:pPr>
      <w:r w:rsidRPr="008D75EF">
        <w:t xml:space="preserve">Recruitment to new studies </w:t>
      </w:r>
      <w:r>
        <w:t>can</w:t>
      </w:r>
      <w:r w:rsidRPr="008D75EF">
        <w:t xml:space="preserve"> preferably happen by independent people, rather than social care practitioners who are involved in their care.</w:t>
      </w:r>
    </w:p>
    <w:p w14:paraId="7C963B3D" w14:textId="64275C6C" w:rsidR="0015390D" w:rsidRPr="009D0B93" w:rsidRDefault="00F84565" w:rsidP="00015C50">
      <w:pPr>
        <w:spacing w:line="360" w:lineRule="auto"/>
      </w:pPr>
      <w:r>
        <w:t>B</w:t>
      </w:r>
      <w:r w:rsidR="0015390D">
        <w:t xml:space="preserve">oth workshops, </w:t>
      </w:r>
      <w:r>
        <w:t xml:space="preserve">create opportunities to </w:t>
      </w:r>
      <w:r w:rsidR="0015390D">
        <w:t xml:space="preserve">highlighted </w:t>
      </w:r>
      <w:r w:rsidR="00D74987">
        <w:t>longstanding issues that exis</w:t>
      </w:r>
      <w:r w:rsidR="0027728C">
        <w:t>t</w:t>
      </w:r>
      <w:r w:rsidR="00D74987">
        <w:t xml:space="preserve"> in adult </w:t>
      </w:r>
      <w:r w:rsidR="0015390D">
        <w:t xml:space="preserve">social </w:t>
      </w:r>
      <w:r w:rsidR="0015390D" w:rsidRPr="009D0B93">
        <w:t>care</w:t>
      </w:r>
      <w:r w:rsidR="00D74987" w:rsidRPr="009D0B93">
        <w:t xml:space="preserve">. Those include: </w:t>
      </w:r>
    </w:p>
    <w:p w14:paraId="269671CD" w14:textId="6953A666" w:rsidR="00B05A78" w:rsidRPr="009D0B93" w:rsidRDefault="009D0B93" w:rsidP="00B62306">
      <w:pPr>
        <w:pStyle w:val="ListParagraph"/>
        <w:numPr>
          <w:ilvl w:val="0"/>
          <w:numId w:val="4"/>
        </w:numPr>
        <w:spacing w:line="360" w:lineRule="auto"/>
      </w:pPr>
      <w:r>
        <w:t>D</w:t>
      </w:r>
      <w:r w:rsidR="00B05A78" w:rsidRPr="009D0B93">
        <w:t>eclin</w:t>
      </w:r>
      <w:r>
        <w:t>ing</w:t>
      </w:r>
      <w:r w:rsidR="00B05A78" w:rsidRPr="009D0B93">
        <w:t xml:space="preserve"> quality of services and coordination of care. That is particularly noticeable by those who are in care for long periods of time. </w:t>
      </w:r>
    </w:p>
    <w:p w14:paraId="73DF80F6" w14:textId="1D1CAF26" w:rsidR="004701AB" w:rsidRPr="009D0B93" w:rsidRDefault="00B62306" w:rsidP="00B62306">
      <w:pPr>
        <w:pStyle w:val="ListParagraph"/>
        <w:numPr>
          <w:ilvl w:val="0"/>
          <w:numId w:val="4"/>
        </w:numPr>
        <w:spacing w:line="360" w:lineRule="auto"/>
      </w:pPr>
      <w:r w:rsidRPr="009D0B93">
        <w:t>Increasing cost of ca</w:t>
      </w:r>
      <w:r w:rsidR="00BF5C00" w:rsidRPr="009D0B93">
        <w:t>r</w:t>
      </w:r>
      <w:r w:rsidRPr="009D0B93">
        <w:t xml:space="preserve">e packages </w:t>
      </w:r>
      <w:r w:rsidR="009D0B93">
        <w:t>leading</w:t>
      </w:r>
      <w:r w:rsidRPr="009D0B93">
        <w:t xml:space="preserve"> to more people having limited or no support.</w:t>
      </w:r>
    </w:p>
    <w:p w14:paraId="33363F16" w14:textId="5827CFFC" w:rsidR="00BF5C00" w:rsidRPr="009D0B93" w:rsidRDefault="00BF5C00" w:rsidP="00B62306">
      <w:pPr>
        <w:pStyle w:val="ListParagraph"/>
        <w:numPr>
          <w:ilvl w:val="0"/>
          <w:numId w:val="4"/>
        </w:numPr>
        <w:spacing w:line="360" w:lineRule="auto"/>
      </w:pPr>
      <w:r w:rsidRPr="009D0B93">
        <w:t>Financial cutbacks over time le</w:t>
      </w:r>
      <w:r w:rsidR="009D0B93">
        <w:t>a</w:t>
      </w:r>
      <w:r w:rsidRPr="009D0B93">
        <w:t>d</w:t>
      </w:r>
      <w:r w:rsidR="009D0B93">
        <w:t>ing</w:t>
      </w:r>
      <w:r w:rsidRPr="009D0B93">
        <w:t xml:space="preserve"> to only meeting critical needs. </w:t>
      </w:r>
    </w:p>
    <w:p w14:paraId="78188984" w14:textId="41940FAD" w:rsidR="009B54C5" w:rsidRPr="009D0B93" w:rsidRDefault="003A36A1" w:rsidP="007E32A8">
      <w:pPr>
        <w:pStyle w:val="ListParagraph"/>
        <w:numPr>
          <w:ilvl w:val="0"/>
          <w:numId w:val="4"/>
        </w:numPr>
        <w:spacing w:line="360" w:lineRule="auto"/>
      </w:pPr>
      <w:r w:rsidRPr="009D0B93">
        <w:t>High w</w:t>
      </w:r>
      <w:r w:rsidR="002C3D5C" w:rsidRPr="009D0B93">
        <w:t>orkforce turnover impact</w:t>
      </w:r>
      <w:r w:rsidR="00105FD9">
        <w:t>ing</w:t>
      </w:r>
      <w:r w:rsidR="002C3D5C" w:rsidRPr="009D0B93">
        <w:t xml:space="preserve"> engagement and </w:t>
      </w:r>
      <w:r w:rsidR="00A015EF" w:rsidRPr="009D0B93">
        <w:t xml:space="preserve">trusting relationships with people who access care and </w:t>
      </w:r>
      <w:r w:rsidR="008F2215" w:rsidRPr="009D0B93">
        <w:t>carers</w:t>
      </w:r>
    </w:p>
    <w:p w14:paraId="51285370" w14:textId="22985D2F" w:rsidR="00C33F9A" w:rsidRDefault="00015C50" w:rsidP="00015C50">
      <w:pPr>
        <w:spacing w:line="360" w:lineRule="auto"/>
      </w:pPr>
      <w:r>
        <w:t xml:space="preserve">Participants </w:t>
      </w:r>
      <w:r w:rsidR="00C33F9A">
        <w:t xml:space="preserve">also highlighted positive experiences: </w:t>
      </w:r>
    </w:p>
    <w:p w14:paraId="2D9B828B" w14:textId="3AE5AD9A" w:rsidR="00C33F9A" w:rsidRDefault="00C33F9A" w:rsidP="00C33F9A">
      <w:pPr>
        <w:pStyle w:val="ListParagraph"/>
        <w:numPr>
          <w:ilvl w:val="0"/>
          <w:numId w:val="7"/>
        </w:numPr>
        <w:spacing w:line="360" w:lineRule="auto"/>
      </w:pPr>
      <w:r>
        <w:t>Attendees gave examples of positive interactions with social care worker</w:t>
      </w:r>
      <w:r w:rsidR="003A36A1">
        <w:t>s</w:t>
      </w:r>
      <w:r>
        <w:t>, support their received, and ways their care was planned to meet their needs</w:t>
      </w:r>
      <w:r w:rsidR="006B16E7">
        <w:t xml:space="preserve"> and enable independence</w:t>
      </w:r>
      <w:r>
        <w:t xml:space="preserve">. </w:t>
      </w:r>
    </w:p>
    <w:p w14:paraId="2A8FF506" w14:textId="77777777" w:rsidR="00015C50" w:rsidRDefault="00015C50" w:rsidP="00015C50">
      <w:pPr>
        <w:spacing w:line="360" w:lineRule="auto"/>
      </w:pPr>
      <w:r>
        <w:t>The importance of involving people who access care and carers was also discussed. Key points include:</w:t>
      </w:r>
    </w:p>
    <w:p w14:paraId="6FB7B70D" w14:textId="77777777" w:rsidR="00015C50" w:rsidRPr="00105FD9" w:rsidRDefault="00015C50" w:rsidP="00015C50">
      <w:pPr>
        <w:pStyle w:val="ListParagraph"/>
        <w:numPr>
          <w:ilvl w:val="0"/>
          <w:numId w:val="4"/>
        </w:numPr>
        <w:spacing w:line="360" w:lineRule="auto"/>
      </w:pPr>
      <w:r w:rsidRPr="00A3021E">
        <w:t>Peer support and working with people with lived experience are positive examples in social care provision.</w:t>
      </w:r>
      <w:r>
        <w:t xml:space="preserve"> However, there has been </w:t>
      </w:r>
      <w:r w:rsidRPr="003007CE">
        <w:t>a reduction in user-led organisations</w:t>
      </w:r>
      <w:r>
        <w:t xml:space="preserve"> </w:t>
      </w:r>
      <w:r w:rsidRPr="00105FD9">
        <w:t>over-time.</w:t>
      </w:r>
    </w:p>
    <w:p w14:paraId="75F65FB0" w14:textId="77777777" w:rsidR="00015C50" w:rsidRPr="00105FD9" w:rsidRDefault="00015C50" w:rsidP="00015C50">
      <w:pPr>
        <w:pStyle w:val="ListParagraph"/>
        <w:numPr>
          <w:ilvl w:val="0"/>
          <w:numId w:val="4"/>
        </w:numPr>
        <w:spacing w:line="360" w:lineRule="auto"/>
      </w:pPr>
      <w:r w:rsidRPr="00105FD9">
        <w:t xml:space="preserve">While social care organisations often ask for feedback from people who access care and their </w:t>
      </w:r>
      <w:proofErr w:type="spellStart"/>
      <w:r w:rsidRPr="00105FD9">
        <w:t>carers</w:t>
      </w:r>
      <w:proofErr w:type="spellEnd"/>
      <w:r w:rsidRPr="00105FD9">
        <w:t>, there is often no further information as to what changes took places as a result.</w:t>
      </w:r>
    </w:p>
    <w:p w14:paraId="1DBA58B8" w14:textId="0B286F7A" w:rsidR="003C55FF" w:rsidRDefault="003A623D" w:rsidP="00883B73">
      <w:pPr>
        <w:spacing w:line="360" w:lineRule="auto"/>
      </w:pPr>
      <w:r>
        <w:t>Lastly, p</w:t>
      </w:r>
      <w:r w:rsidR="003C55FF">
        <w:t>articipants emphasised the need to continue investing in a person-centre</w:t>
      </w:r>
      <w:r w:rsidR="003E5932">
        <w:t>d</w:t>
      </w:r>
      <w:r w:rsidR="003C55FF">
        <w:t xml:space="preserve"> system of care. Key points include: </w:t>
      </w:r>
    </w:p>
    <w:p w14:paraId="4BFB8FEE" w14:textId="3ED656ED" w:rsidR="006B2780" w:rsidRPr="004354A0" w:rsidRDefault="006B2780" w:rsidP="006B2780">
      <w:pPr>
        <w:pStyle w:val="ListParagraph"/>
        <w:numPr>
          <w:ilvl w:val="0"/>
          <w:numId w:val="6"/>
        </w:numPr>
        <w:spacing w:line="360" w:lineRule="auto"/>
      </w:pPr>
      <w:r w:rsidRPr="004354A0">
        <w:lastRenderedPageBreak/>
        <w:t xml:space="preserve">The current system of care provision </w:t>
      </w:r>
      <w:r w:rsidR="00096515" w:rsidRPr="004354A0">
        <w:t>feels</w:t>
      </w:r>
      <w:r w:rsidRPr="004354A0">
        <w:t xml:space="preserve"> organisation-centred, rather than person- </w:t>
      </w:r>
      <w:r w:rsidR="00550B31" w:rsidRPr="004354A0">
        <w:t>centred; organisational boundaries can make people passive recipients of decisions about their care.</w:t>
      </w:r>
    </w:p>
    <w:p w14:paraId="45E4C990" w14:textId="2ED6CCBC" w:rsidR="00860E54" w:rsidRPr="004354A0" w:rsidRDefault="00860E54" w:rsidP="006B2780">
      <w:pPr>
        <w:pStyle w:val="ListParagraph"/>
        <w:numPr>
          <w:ilvl w:val="0"/>
          <w:numId w:val="6"/>
        </w:numPr>
        <w:spacing w:line="360" w:lineRule="auto"/>
      </w:pPr>
      <w:r w:rsidRPr="004354A0">
        <w:t>Lack of funding also leads to referring people from health to social care services and vice versa</w:t>
      </w:r>
      <w:r w:rsidR="00096515" w:rsidRPr="004354A0">
        <w:t>, aiming for one of the services to meet the person’s needs.</w:t>
      </w:r>
    </w:p>
    <w:p w14:paraId="5BD6FCD5" w14:textId="41235EF1" w:rsidR="00115FA0" w:rsidRDefault="00115FA0" w:rsidP="006B2780">
      <w:pPr>
        <w:pStyle w:val="ListParagraph"/>
        <w:numPr>
          <w:ilvl w:val="0"/>
          <w:numId w:val="6"/>
        </w:numPr>
        <w:spacing w:line="360" w:lineRule="auto"/>
      </w:pPr>
      <w:r w:rsidRPr="004354A0">
        <w:t>People who access care</w:t>
      </w:r>
      <w:r>
        <w:t xml:space="preserve"> are not sufficiently informed about </w:t>
      </w:r>
      <w:r w:rsidR="000C6B96">
        <w:t xml:space="preserve">the structure of </w:t>
      </w:r>
      <w:r>
        <w:t>service provision</w:t>
      </w:r>
      <w:r w:rsidR="000C6B96">
        <w:t xml:space="preserve"> and available care options</w:t>
      </w:r>
      <w:r w:rsidR="00306784">
        <w:t>.</w:t>
      </w:r>
      <w:r w:rsidR="00306784" w:rsidRPr="00306784">
        <w:t xml:space="preserve"> </w:t>
      </w:r>
      <w:r w:rsidR="00306784">
        <w:t>Limited communication is attributed to understaffed workforce</w:t>
      </w:r>
      <w:r w:rsidR="00306784" w:rsidRPr="00306784">
        <w:t>.</w:t>
      </w:r>
    </w:p>
    <w:p w14:paraId="6BA24C67" w14:textId="66FC4DBD" w:rsidR="007C655D" w:rsidRDefault="008C736E" w:rsidP="007C655D">
      <w:pPr>
        <w:spacing w:line="360" w:lineRule="auto"/>
      </w:pPr>
      <w:r>
        <w:t xml:space="preserve"> </w:t>
      </w:r>
      <w:r w:rsidR="007C655D">
        <w:t xml:space="preserve">If you have any questions, please contact the ASCENT Programme Coordinator, Lida Efstathopoulou </w:t>
      </w:r>
      <w:hyperlink r:id="rId8" w:history="1">
        <w:r w:rsidR="007C655D" w:rsidRPr="008A5052">
          <w:rPr>
            <w:rStyle w:val="Hyperlink"/>
          </w:rPr>
          <w:t>l.g.efstathopoulou@herts.ac.uk</w:t>
        </w:r>
      </w:hyperlink>
      <w:r w:rsidR="007C655D">
        <w:t xml:space="preserve"> </w:t>
      </w:r>
    </w:p>
    <w:p w14:paraId="167251C0" w14:textId="77777777" w:rsidR="008D05DA" w:rsidRDefault="008D05DA" w:rsidP="00B62306">
      <w:pPr>
        <w:spacing w:line="360" w:lineRule="auto"/>
      </w:pPr>
    </w:p>
    <w:sectPr w:rsidR="008D05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4F35" w14:textId="77777777" w:rsidR="00A15341" w:rsidRDefault="00A15341" w:rsidP="00103072">
      <w:pPr>
        <w:spacing w:after="0" w:line="240" w:lineRule="auto"/>
      </w:pPr>
      <w:r>
        <w:separator/>
      </w:r>
    </w:p>
  </w:endnote>
  <w:endnote w:type="continuationSeparator" w:id="0">
    <w:p w14:paraId="4D797D02" w14:textId="77777777" w:rsidR="00A15341" w:rsidRDefault="00A15341" w:rsidP="0010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143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8FE56" w14:textId="6CAAE51F" w:rsidR="00103072" w:rsidRDefault="001030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AE05C" w14:textId="77777777" w:rsidR="00103072" w:rsidRDefault="0010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3183" w14:textId="77777777" w:rsidR="00A15341" w:rsidRDefault="00A15341" w:rsidP="00103072">
      <w:pPr>
        <w:spacing w:after="0" w:line="240" w:lineRule="auto"/>
      </w:pPr>
      <w:r>
        <w:separator/>
      </w:r>
    </w:p>
  </w:footnote>
  <w:footnote w:type="continuationSeparator" w:id="0">
    <w:p w14:paraId="431C386C" w14:textId="77777777" w:rsidR="00A15341" w:rsidRDefault="00A15341" w:rsidP="0010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0C0A"/>
    <w:multiLevelType w:val="hybridMultilevel"/>
    <w:tmpl w:val="2F06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432"/>
    <w:multiLevelType w:val="hybridMultilevel"/>
    <w:tmpl w:val="E2A0A472"/>
    <w:lvl w:ilvl="0" w:tplc="3E300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B6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28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0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29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03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0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C4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6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5F3799"/>
    <w:multiLevelType w:val="hybridMultilevel"/>
    <w:tmpl w:val="7612F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072D"/>
    <w:multiLevelType w:val="hybridMultilevel"/>
    <w:tmpl w:val="DA8A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6E6C"/>
    <w:multiLevelType w:val="hybridMultilevel"/>
    <w:tmpl w:val="FD96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D32E6"/>
    <w:multiLevelType w:val="hybridMultilevel"/>
    <w:tmpl w:val="C076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67908"/>
    <w:multiLevelType w:val="hybridMultilevel"/>
    <w:tmpl w:val="0414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2687"/>
    <w:multiLevelType w:val="hybridMultilevel"/>
    <w:tmpl w:val="9FC2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553B3"/>
    <w:multiLevelType w:val="hybridMultilevel"/>
    <w:tmpl w:val="5F023C3E"/>
    <w:lvl w:ilvl="0" w:tplc="887ED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C4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EC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C5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A3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81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0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D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EE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3F4D95"/>
    <w:multiLevelType w:val="hybridMultilevel"/>
    <w:tmpl w:val="4792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847CD"/>
    <w:multiLevelType w:val="hybridMultilevel"/>
    <w:tmpl w:val="6D06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9211">
    <w:abstractNumId w:val="8"/>
  </w:num>
  <w:num w:numId="2" w16cid:durableId="2117408595">
    <w:abstractNumId w:val="1"/>
  </w:num>
  <w:num w:numId="3" w16cid:durableId="1740248643">
    <w:abstractNumId w:val="5"/>
  </w:num>
  <w:num w:numId="4" w16cid:durableId="2079741792">
    <w:abstractNumId w:val="9"/>
  </w:num>
  <w:num w:numId="5" w16cid:durableId="1963028385">
    <w:abstractNumId w:val="7"/>
  </w:num>
  <w:num w:numId="6" w16cid:durableId="1216314353">
    <w:abstractNumId w:val="3"/>
  </w:num>
  <w:num w:numId="7" w16cid:durableId="633103284">
    <w:abstractNumId w:val="4"/>
  </w:num>
  <w:num w:numId="8" w16cid:durableId="1666087938">
    <w:abstractNumId w:val="6"/>
  </w:num>
  <w:num w:numId="9" w16cid:durableId="1989086054">
    <w:abstractNumId w:val="10"/>
  </w:num>
  <w:num w:numId="10" w16cid:durableId="1359355999">
    <w:abstractNumId w:val="0"/>
  </w:num>
  <w:num w:numId="11" w16cid:durableId="89601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B"/>
    <w:rsid w:val="00001BEB"/>
    <w:rsid w:val="000120C1"/>
    <w:rsid w:val="000130F7"/>
    <w:rsid w:val="00015C50"/>
    <w:rsid w:val="00021550"/>
    <w:rsid w:val="00054AFB"/>
    <w:rsid w:val="00060C77"/>
    <w:rsid w:val="000675D7"/>
    <w:rsid w:val="000726C5"/>
    <w:rsid w:val="00074610"/>
    <w:rsid w:val="00075ED5"/>
    <w:rsid w:val="00077680"/>
    <w:rsid w:val="0008781A"/>
    <w:rsid w:val="00095E5A"/>
    <w:rsid w:val="00096515"/>
    <w:rsid w:val="000A6A1B"/>
    <w:rsid w:val="000B494E"/>
    <w:rsid w:val="000B542C"/>
    <w:rsid w:val="000B6C12"/>
    <w:rsid w:val="000C68EC"/>
    <w:rsid w:val="000C6B96"/>
    <w:rsid w:val="000D0DBB"/>
    <w:rsid w:val="00103072"/>
    <w:rsid w:val="001042C6"/>
    <w:rsid w:val="00105FD9"/>
    <w:rsid w:val="00115FA0"/>
    <w:rsid w:val="00132605"/>
    <w:rsid w:val="00134293"/>
    <w:rsid w:val="00152A2D"/>
    <w:rsid w:val="00152B8D"/>
    <w:rsid w:val="0015390D"/>
    <w:rsid w:val="001568D0"/>
    <w:rsid w:val="00161473"/>
    <w:rsid w:val="00166888"/>
    <w:rsid w:val="0017090E"/>
    <w:rsid w:val="00180053"/>
    <w:rsid w:val="00197947"/>
    <w:rsid w:val="001B5605"/>
    <w:rsid w:val="001B78AD"/>
    <w:rsid w:val="001B7DE1"/>
    <w:rsid w:val="001D3D4E"/>
    <w:rsid w:val="001D47C1"/>
    <w:rsid w:val="001D5DB7"/>
    <w:rsid w:val="001D7D5D"/>
    <w:rsid w:val="001F204F"/>
    <w:rsid w:val="001F43B4"/>
    <w:rsid w:val="001F7D81"/>
    <w:rsid w:val="002222D5"/>
    <w:rsid w:val="0023662A"/>
    <w:rsid w:val="00237F22"/>
    <w:rsid w:val="002544B5"/>
    <w:rsid w:val="00265150"/>
    <w:rsid w:val="0027728C"/>
    <w:rsid w:val="00286A58"/>
    <w:rsid w:val="00287C91"/>
    <w:rsid w:val="00297AC0"/>
    <w:rsid w:val="002B438C"/>
    <w:rsid w:val="002B50DE"/>
    <w:rsid w:val="002B688B"/>
    <w:rsid w:val="002B7DA3"/>
    <w:rsid w:val="002C3D5C"/>
    <w:rsid w:val="002C4B48"/>
    <w:rsid w:val="002C7E45"/>
    <w:rsid w:val="002D5914"/>
    <w:rsid w:val="002E13A0"/>
    <w:rsid w:val="002E6FE5"/>
    <w:rsid w:val="002E7EA4"/>
    <w:rsid w:val="002F0483"/>
    <w:rsid w:val="002F2FE2"/>
    <w:rsid w:val="0030004A"/>
    <w:rsid w:val="003007CE"/>
    <w:rsid w:val="0030354E"/>
    <w:rsid w:val="00306784"/>
    <w:rsid w:val="0031102B"/>
    <w:rsid w:val="00313D55"/>
    <w:rsid w:val="003141B0"/>
    <w:rsid w:val="003341E8"/>
    <w:rsid w:val="00345A8D"/>
    <w:rsid w:val="00347DA9"/>
    <w:rsid w:val="00350438"/>
    <w:rsid w:val="00361FF5"/>
    <w:rsid w:val="00373068"/>
    <w:rsid w:val="00375D49"/>
    <w:rsid w:val="0038570F"/>
    <w:rsid w:val="00386805"/>
    <w:rsid w:val="00387B3B"/>
    <w:rsid w:val="003A36A1"/>
    <w:rsid w:val="003A623D"/>
    <w:rsid w:val="003C3743"/>
    <w:rsid w:val="003C3A4F"/>
    <w:rsid w:val="003C55FF"/>
    <w:rsid w:val="003E5932"/>
    <w:rsid w:val="003F4594"/>
    <w:rsid w:val="003F52FF"/>
    <w:rsid w:val="00400276"/>
    <w:rsid w:val="00402736"/>
    <w:rsid w:val="00403E91"/>
    <w:rsid w:val="00406423"/>
    <w:rsid w:val="00412C6E"/>
    <w:rsid w:val="00413411"/>
    <w:rsid w:val="00431EA5"/>
    <w:rsid w:val="0043465B"/>
    <w:rsid w:val="004354A0"/>
    <w:rsid w:val="00444CC4"/>
    <w:rsid w:val="00456A74"/>
    <w:rsid w:val="004701AB"/>
    <w:rsid w:val="00470859"/>
    <w:rsid w:val="0047760B"/>
    <w:rsid w:val="00482230"/>
    <w:rsid w:val="00482881"/>
    <w:rsid w:val="0048377C"/>
    <w:rsid w:val="00486029"/>
    <w:rsid w:val="0049034D"/>
    <w:rsid w:val="0049428B"/>
    <w:rsid w:val="004B1310"/>
    <w:rsid w:val="004C70AC"/>
    <w:rsid w:val="004D2965"/>
    <w:rsid w:val="004D4BDD"/>
    <w:rsid w:val="004F7A7B"/>
    <w:rsid w:val="005069C3"/>
    <w:rsid w:val="00506EA0"/>
    <w:rsid w:val="00513B90"/>
    <w:rsid w:val="00531C4C"/>
    <w:rsid w:val="00550B31"/>
    <w:rsid w:val="00576C09"/>
    <w:rsid w:val="00595F6C"/>
    <w:rsid w:val="005B3560"/>
    <w:rsid w:val="005B38EF"/>
    <w:rsid w:val="005E16F0"/>
    <w:rsid w:val="005E431F"/>
    <w:rsid w:val="005E7AFE"/>
    <w:rsid w:val="005F1851"/>
    <w:rsid w:val="005F6399"/>
    <w:rsid w:val="00605034"/>
    <w:rsid w:val="006125A1"/>
    <w:rsid w:val="006209A4"/>
    <w:rsid w:val="006249AA"/>
    <w:rsid w:val="00636EAE"/>
    <w:rsid w:val="00645514"/>
    <w:rsid w:val="00646D30"/>
    <w:rsid w:val="0064771C"/>
    <w:rsid w:val="00666EB5"/>
    <w:rsid w:val="006700CF"/>
    <w:rsid w:val="00686532"/>
    <w:rsid w:val="006912CE"/>
    <w:rsid w:val="00691C86"/>
    <w:rsid w:val="00692674"/>
    <w:rsid w:val="006956C6"/>
    <w:rsid w:val="006A24C6"/>
    <w:rsid w:val="006A62B4"/>
    <w:rsid w:val="006A6ED0"/>
    <w:rsid w:val="006B16E7"/>
    <w:rsid w:val="006B2692"/>
    <w:rsid w:val="006B2780"/>
    <w:rsid w:val="006C44CB"/>
    <w:rsid w:val="006D0803"/>
    <w:rsid w:val="006D2BB9"/>
    <w:rsid w:val="006D7631"/>
    <w:rsid w:val="006F18A1"/>
    <w:rsid w:val="006F1FE0"/>
    <w:rsid w:val="00701F60"/>
    <w:rsid w:val="00717E18"/>
    <w:rsid w:val="007370D6"/>
    <w:rsid w:val="00750EE3"/>
    <w:rsid w:val="00754B3F"/>
    <w:rsid w:val="00757065"/>
    <w:rsid w:val="007762D1"/>
    <w:rsid w:val="00777F21"/>
    <w:rsid w:val="007827D1"/>
    <w:rsid w:val="007833F0"/>
    <w:rsid w:val="00784207"/>
    <w:rsid w:val="00785E70"/>
    <w:rsid w:val="00787247"/>
    <w:rsid w:val="00793435"/>
    <w:rsid w:val="007956A7"/>
    <w:rsid w:val="007B6ED2"/>
    <w:rsid w:val="007C655D"/>
    <w:rsid w:val="007D1A70"/>
    <w:rsid w:val="007F039D"/>
    <w:rsid w:val="007F4C83"/>
    <w:rsid w:val="00803D9B"/>
    <w:rsid w:val="008060C5"/>
    <w:rsid w:val="0082229C"/>
    <w:rsid w:val="00824453"/>
    <w:rsid w:val="00827B75"/>
    <w:rsid w:val="00831890"/>
    <w:rsid w:val="00832B63"/>
    <w:rsid w:val="00851A16"/>
    <w:rsid w:val="00856AD5"/>
    <w:rsid w:val="00860E54"/>
    <w:rsid w:val="008629E1"/>
    <w:rsid w:val="00873842"/>
    <w:rsid w:val="00873864"/>
    <w:rsid w:val="008747CD"/>
    <w:rsid w:val="008805BA"/>
    <w:rsid w:val="00882708"/>
    <w:rsid w:val="00883B73"/>
    <w:rsid w:val="008858A3"/>
    <w:rsid w:val="0089515B"/>
    <w:rsid w:val="00896AFF"/>
    <w:rsid w:val="008A094D"/>
    <w:rsid w:val="008A5721"/>
    <w:rsid w:val="008B1B55"/>
    <w:rsid w:val="008B73FD"/>
    <w:rsid w:val="008C5B37"/>
    <w:rsid w:val="008C736E"/>
    <w:rsid w:val="008D05DA"/>
    <w:rsid w:val="008D6416"/>
    <w:rsid w:val="008D75EF"/>
    <w:rsid w:val="008E2F8E"/>
    <w:rsid w:val="008E430F"/>
    <w:rsid w:val="008E7917"/>
    <w:rsid w:val="008F2215"/>
    <w:rsid w:val="009009B1"/>
    <w:rsid w:val="009009D2"/>
    <w:rsid w:val="00904044"/>
    <w:rsid w:val="00927ED6"/>
    <w:rsid w:val="009326DD"/>
    <w:rsid w:val="00951ACC"/>
    <w:rsid w:val="00954CBF"/>
    <w:rsid w:val="00977D4E"/>
    <w:rsid w:val="0098404B"/>
    <w:rsid w:val="0099337A"/>
    <w:rsid w:val="00993BDF"/>
    <w:rsid w:val="009B54C5"/>
    <w:rsid w:val="009C04A5"/>
    <w:rsid w:val="009C5BBA"/>
    <w:rsid w:val="009D0B93"/>
    <w:rsid w:val="009D654B"/>
    <w:rsid w:val="009E4E80"/>
    <w:rsid w:val="009F3264"/>
    <w:rsid w:val="009F4F8E"/>
    <w:rsid w:val="00A015EF"/>
    <w:rsid w:val="00A01C19"/>
    <w:rsid w:val="00A13DF7"/>
    <w:rsid w:val="00A15341"/>
    <w:rsid w:val="00A3021E"/>
    <w:rsid w:val="00A402E3"/>
    <w:rsid w:val="00A55091"/>
    <w:rsid w:val="00A658B1"/>
    <w:rsid w:val="00A8134B"/>
    <w:rsid w:val="00A81357"/>
    <w:rsid w:val="00A83AF8"/>
    <w:rsid w:val="00A84D20"/>
    <w:rsid w:val="00A919BA"/>
    <w:rsid w:val="00AA4713"/>
    <w:rsid w:val="00AC4C96"/>
    <w:rsid w:val="00AD6F85"/>
    <w:rsid w:val="00AD7F3A"/>
    <w:rsid w:val="00AE20AF"/>
    <w:rsid w:val="00AE5F0E"/>
    <w:rsid w:val="00AF2D4E"/>
    <w:rsid w:val="00AF6F49"/>
    <w:rsid w:val="00B00058"/>
    <w:rsid w:val="00B05318"/>
    <w:rsid w:val="00B05A78"/>
    <w:rsid w:val="00B06E22"/>
    <w:rsid w:val="00B13E73"/>
    <w:rsid w:val="00B21C24"/>
    <w:rsid w:val="00B24964"/>
    <w:rsid w:val="00B328FB"/>
    <w:rsid w:val="00B46B26"/>
    <w:rsid w:val="00B46DBC"/>
    <w:rsid w:val="00B5383C"/>
    <w:rsid w:val="00B540D6"/>
    <w:rsid w:val="00B55743"/>
    <w:rsid w:val="00B56018"/>
    <w:rsid w:val="00B62306"/>
    <w:rsid w:val="00B6513B"/>
    <w:rsid w:val="00B764F1"/>
    <w:rsid w:val="00B765F9"/>
    <w:rsid w:val="00B77DDD"/>
    <w:rsid w:val="00B90DF2"/>
    <w:rsid w:val="00B966B3"/>
    <w:rsid w:val="00BA7F3D"/>
    <w:rsid w:val="00BB1C80"/>
    <w:rsid w:val="00BC1069"/>
    <w:rsid w:val="00BF32E2"/>
    <w:rsid w:val="00BF5C00"/>
    <w:rsid w:val="00C008B3"/>
    <w:rsid w:val="00C072AF"/>
    <w:rsid w:val="00C117B3"/>
    <w:rsid w:val="00C1656A"/>
    <w:rsid w:val="00C21717"/>
    <w:rsid w:val="00C33F9A"/>
    <w:rsid w:val="00C37990"/>
    <w:rsid w:val="00C43F5F"/>
    <w:rsid w:val="00C448C1"/>
    <w:rsid w:val="00C4675A"/>
    <w:rsid w:val="00C4786B"/>
    <w:rsid w:val="00C52CC7"/>
    <w:rsid w:val="00C55012"/>
    <w:rsid w:val="00C66291"/>
    <w:rsid w:val="00C70B4D"/>
    <w:rsid w:val="00C768A0"/>
    <w:rsid w:val="00C770D2"/>
    <w:rsid w:val="00C826D7"/>
    <w:rsid w:val="00C839D4"/>
    <w:rsid w:val="00C84DBD"/>
    <w:rsid w:val="00C8625B"/>
    <w:rsid w:val="00C95A4C"/>
    <w:rsid w:val="00CA29ED"/>
    <w:rsid w:val="00CA763B"/>
    <w:rsid w:val="00CB18D2"/>
    <w:rsid w:val="00CB2C62"/>
    <w:rsid w:val="00CC6A1D"/>
    <w:rsid w:val="00CE2A4C"/>
    <w:rsid w:val="00CE3BF5"/>
    <w:rsid w:val="00CE45F1"/>
    <w:rsid w:val="00CE461F"/>
    <w:rsid w:val="00CF1B05"/>
    <w:rsid w:val="00CF617E"/>
    <w:rsid w:val="00CF712F"/>
    <w:rsid w:val="00D05E92"/>
    <w:rsid w:val="00D141B0"/>
    <w:rsid w:val="00D17087"/>
    <w:rsid w:val="00D51B3D"/>
    <w:rsid w:val="00D62933"/>
    <w:rsid w:val="00D63DB3"/>
    <w:rsid w:val="00D74987"/>
    <w:rsid w:val="00D834C3"/>
    <w:rsid w:val="00D83955"/>
    <w:rsid w:val="00D8482C"/>
    <w:rsid w:val="00D87E8C"/>
    <w:rsid w:val="00D93E1F"/>
    <w:rsid w:val="00D96A1D"/>
    <w:rsid w:val="00DB112F"/>
    <w:rsid w:val="00DB6BB6"/>
    <w:rsid w:val="00DC029D"/>
    <w:rsid w:val="00DD563C"/>
    <w:rsid w:val="00DE4631"/>
    <w:rsid w:val="00DE6BE8"/>
    <w:rsid w:val="00DF3440"/>
    <w:rsid w:val="00DF5CAF"/>
    <w:rsid w:val="00E06D25"/>
    <w:rsid w:val="00E11098"/>
    <w:rsid w:val="00E11DF9"/>
    <w:rsid w:val="00E164FD"/>
    <w:rsid w:val="00E16E93"/>
    <w:rsid w:val="00E265D7"/>
    <w:rsid w:val="00E3340B"/>
    <w:rsid w:val="00E363D8"/>
    <w:rsid w:val="00E400EA"/>
    <w:rsid w:val="00E40998"/>
    <w:rsid w:val="00E5745E"/>
    <w:rsid w:val="00E62092"/>
    <w:rsid w:val="00E636DF"/>
    <w:rsid w:val="00E72D43"/>
    <w:rsid w:val="00E80E88"/>
    <w:rsid w:val="00E83661"/>
    <w:rsid w:val="00E9666E"/>
    <w:rsid w:val="00EA3ACA"/>
    <w:rsid w:val="00EA49AE"/>
    <w:rsid w:val="00EA51CE"/>
    <w:rsid w:val="00EA7F40"/>
    <w:rsid w:val="00EB23BF"/>
    <w:rsid w:val="00EB7B0C"/>
    <w:rsid w:val="00EC0B33"/>
    <w:rsid w:val="00EC3938"/>
    <w:rsid w:val="00EC4759"/>
    <w:rsid w:val="00EC4F1D"/>
    <w:rsid w:val="00ED3F1F"/>
    <w:rsid w:val="00EE4D16"/>
    <w:rsid w:val="00EF2B65"/>
    <w:rsid w:val="00F065B1"/>
    <w:rsid w:val="00F250FF"/>
    <w:rsid w:val="00F2751E"/>
    <w:rsid w:val="00F32FF9"/>
    <w:rsid w:val="00F40185"/>
    <w:rsid w:val="00F67CD4"/>
    <w:rsid w:val="00F824A3"/>
    <w:rsid w:val="00F826EE"/>
    <w:rsid w:val="00F84565"/>
    <w:rsid w:val="00F84BC0"/>
    <w:rsid w:val="00F94592"/>
    <w:rsid w:val="00F9519A"/>
    <w:rsid w:val="00F97AB6"/>
    <w:rsid w:val="00FA2C02"/>
    <w:rsid w:val="00FB4CDB"/>
    <w:rsid w:val="00FC54CB"/>
    <w:rsid w:val="00FE773D"/>
    <w:rsid w:val="00FF1882"/>
    <w:rsid w:val="00FF360A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C58B"/>
  <w15:chartTrackingRefBased/>
  <w15:docId w15:val="{CD907442-5882-43F0-A5F1-04E0C27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5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5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3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72"/>
  </w:style>
  <w:style w:type="paragraph" w:styleId="Footer">
    <w:name w:val="footer"/>
    <w:basedOn w:val="Normal"/>
    <w:link w:val="FooterChar"/>
    <w:uiPriority w:val="99"/>
    <w:unhideWhenUsed/>
    <w:rsid w:val="00103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72"/>
  </w:style>
  <w:style w:type="table" w:styleId="TableGrid">
    <w:name w:val="Table Grid"/>
    <w:basedOn w:val="TableNormal"/>
    <w:uiPriority w:val="39"/>
    <w:rsid w:val="0030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5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264">
          <w:marLeft w:val="67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22">
          <w:marLeft w:val="67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22">
          <w:marLeft w:val="67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436">
          <w:marLeft w:val="67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378">
          <w:marLeft w:val="67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g.efstathopoulou@hert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FC9B-C7DF-4F34-A4F1-3E7115B6F8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e6beba-c4aa-4731-af5d-d735b097eadb}" enabled="0" method="" siteId="{93e6beba-c4aa-4731-af5d-d735b097ea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6414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Efstathopoulou</dc:creator>
  <cp:keywords/>
  <dc:description/>
  <cp:lastModifiedBy>Lida Efstathopoulou</cp:lastModifiedBy>
  <cp:revision>370</cp:revision>
  <dcterms:created xsi:type="dcterms:W3CDTF">2025-04-04T14:35:00Z</dcterms:created>
  <dcterms:modified xsi:type="dcterms:W3CDTF">2025-06-25T16:28:00Z</dcterms:modified>
</cp:coreProperties>
</file>