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B59E" w14:textId="77777777" w:rsidR="00836DA6" w:rsidRDefault="00836DA6" w:rsidP="00836DA6">
      <w:pPr>
        <w:spacing w:after="0" w:line="240" w:lineRule="auto"/>
        <w:jc w:val="right"/>
        <w:rPr>
          <w:rFonts w:cstheme="minorHAnsi"/>
          <w:b/>
          <w:bCs/>
          <w:sz w:val="28"/>
          <w:szCs w:val="28"/>
        </w:rPr>
      </w:pPr>
      <w:r w:rsidRPr="00836DA6">
        <w:rPr>
          <w:rFonts w:cstheme="minorHAnsi"/>
          <w:b/>
          <w:bCs/>
          <w:sz w:val="28"/>
          <w:szCs w:val="28"/>
        </w:rPr>
        <w:t>28</w:t>
      </w:r>
      <w:r w:rsidRPr="00836DA6">
        <w:rPr>
          <w:rFonts w:cstheme="minorHAnsi"/>
          <w:b/>
          <w:bCs/>
          <w:sz w:val="28"/>
          <w:szCs w:val="28"/>
          <w:vertAlign w:val="superscript"/>
        </w:rPr>
        <w:t>th</w:t>
      </w:r>
      <w:r w:rsidRPr="00836DA6">
        <w:rPr>
          <w:rFonts w:cstheme="minorHAnsi"/>
          <w:b/>
          <w:bCs/>
          <w:sz w:val="28"/>
          <w:szCs w:val="28"/>
        </w:rPr>
        <w:t xml:space="preserve"> April 2026</w:t>
      </w:r>
    </w:p>
    <w:p w14:paraId="26A3D530" w14:textId="76365D10" w:rsidR="00836DA6" w:rsidRPr="00836DA6" w:rsidRDefault="00836DA6" w:rsidP="00836DA6">
      <w:pPr>
        <w:spacing w:after="0" w:line="240" w:lineRule="auto"/>
        <w:rPr>
          <w:rFonts w:cstheme="minorHAnsi"/>
          <w:b/>
          <w:bCs/>
          <w:sz w:val="28"/>
          <w:szCs w:val="28"/>
        </w:rPr>
      </w:pPr>
      <w:proofErr w:type="gramStart"/>
      <w:r w:rsidRPr="00836DA6">
        <w:rPr>
          <w:rFonts w:cstheme="minorHAnsi"/>
          <w:b/>
          <w:bCs/>
          <w:sz w:val="28"/>
          <w:szCs w:val="28"/>
        </w:rPr>
        <w:t>Dis(</w:t>
      </w:r>
      <w:proofErr w:type="gramEnd"/>
      <w:r w:rsidRPr="00836DA6">
        <w:rPr>
          <w:rFonts w:cstheme="minorHAnsi"/>
          <w:b/>
          <w:bCs/>
          <w:sz w:val="28"/>
          <w:szCs w:val="28"/>
        </w:rPr>
        <w:t>Trust) in Research</w:t>
      </w:r>
    </w:p>
    <w:p w14:paraId="47C942A4" w14:textId="12CC790F" w:rsidR="00836DA6" w:rsidRPr="00836DA6" w:rsidRDefault="008349AF" w:rsidP="008349AF">
      <w:pPr>
        <w:spacing w:after="0" w:line="240" w:lineRule="auto"/>
        <w:rPr>
          <w:rFonts w:cstheme="minorHAnsi"/>
          <w:b/>
          <w:bCs/>
          <w:i/>
          <w:iCs/>
          <w:sz w:val="28"/>
          <w:szCs w:val="28"/>
        </w:rPr>
      </w:pPr>
      <w:r w:rsidRPr="00836DA6">
        <w:rPr>
          <w:rFonts w:cstheme="minorHAnsi"/>
          <w:b/>
          <w:bCs/>
          <w:i/>
          <w:iCs/>
          <w:sz w:val="28"/>
          <w:szCs w:val="28"/>
        </w:rPr>
        <w:t xml:space="preserve">NIHR </w:t>
      </w:r>
      <w:r w:rsidR="00A83609" w:rsidRPr="00836DA6">
        <w:rPr>
          <w:rFonts w:cstheme="minorHAnsi"/>
          <w:b/>
          <w:bCs/>
          <w:i/>
          <w:iCs/>
          <w:sz w:val="28"/>
          <w:szCs w:val="28"/>
        </w:rPr>
        <w:t xml:space="preserve">East of England </w:t>
      </w:r>
      <w:r w:rsidRPr="00836DA6">
        <w:rPr>
          <w:rFonts w:cstheme="minorHAnsi"/>
          <w:b/>
          <w:bCs/>
          <w:i/>
          <w:iCs/>
          <w:sz w:val="28"/>
          <w:szCs w:val="28"/>
        </w:rPr>
        <w:t>ARC Inclusive Research</w:t>
      </w:r>
      <w:r w:rsidR="00836DA6" w:rsidRPr="00836DA6">
        <w:rPr>
          <w:rFonts w:cstheme="minorHAnsi"/>
          <w:b/>
          <w:bCs/>
          <w:i/>
          <w:iCs/>
          <w:sz w:val="28"/>
          <w:szCs w:val="28"/>
        </w:rPr>
        <w:t xml:space="preserve"> </w:t>
      </w:r>
      <w:r w:rsidRPr="00836DA6">
        <w:rPr>
          <w:rFonts w:cstheme="minorHAnsi"/>
          <w:b/>
          <w:bCs/>
          <w:i/>
          <w:iCs/>
          <w:sz w:val="28"/>
          <w:szCs w:val="28"/>
        </w:rPr>
        <w:t xml:space="preserve">Community of Practice                                  </w:t>
      </w:r>
    </w:p>
    <w:p w14:paraId="6E754EA5" w14:textId="77777777" w:rsidR="008349AF" w:rsidRPr="00836DA6" w:rsidRDefault="008349AF" w:rsidP="008349AF">
      <w:pPr>
        <w:spacing w:after="0" w:line="240" w:lineRule="auto"/>
        <w:rPr>
          <w:rFonts w:cstheme="minorHAnsi"/>
          <w:i/>
          <w:iCs/>
          <w:sz w:val="28"/>
          <w:szCs w:val="28"/>
        </w:rPr>
      </w:pPr>
    </w:p>
    <w:p w14:paraId="41524880" w14:textId="77777777" w:rsidR="008349AF" w:rsidRPr="00836DA6" w:rsidRDefault="008349AF" w:rsidP="008349AF">
      <w:pPr>
        <w:spacing w:after="0" w:line="240" w:lineRule="auto"/>
        <w:rPr>
          <w:rFonts w:cstheme="minorHAnsi"/>
          <w:b/>
          <w:bCs/>
          <w:sz w:val="28"/>
          <w:szCs w:val="28"/>
        </w:rPr>
      </w:pPr>
      <w:r w:rsidRPr="00836DA6">
        <w:rPr>
          <w:rFonts w:cstheme="minorHAnsi"/>
          <w:b/>
          <w:bCs/>
          <w:sz w:val="28"/>
          <w:szCs w:val="28"/>
        </w:rPr>
        <w:t>Introduction</w:t>
      </w:r>
    </w:p>
    <w:p w14:paraId="0CB41BE3" w14:textId="51CA03C6" w:rsidR="008349AF" w:rsidRPr="008349AF" w:rsidRDefault="008349AF" w:rsidP="008349AF">
      <w:pPr>
        <w:spacing w:after="0" w:line="240" w:lineRule="auto"/>
        <w:rPr>
          <w:rFonts w:cstheme="minorHAnsi"/>
          <w:sz w:val="24"/>
          <w:szCs w:val="24"/>
        </w:rPr>
      </w:pPr>
      <w:r w:rsidRPr="008349AF">
        <w:rPr>
          <w:rFonts w:cstheme="minorHAnsi"/>
          <w:sz w:val="24"/>
          <w:szCs w:val="24"/>
        </w:rPr>
        <w:t>The session brought together researchers, P</w:t>
      </w:r>
      <w:r w:rsidR="00984526">
        <w:rPr>
          <w:rFonts w:cstheme="minorHAnsi"/>
          <w:sz w:val="24"/>
          <w:szCs w:val="24"/>
        </w:rPr>
        <w:t xml:space="preserve">atient and </w:t>
      </w:r>
      <w:r w:rsidRPr="008349AF">
        <w:rPr>
          <w:rFonts w:cstheme="minorHAnsi"/>
          <w:sz w:val="24"/>
          <w:szCs w:val="24"/>
        </w:rPr>
        <w:t>P</w:t>
      </w:r>
      <w:r w:rsidR="00984526">
        <w:rPr>
          <w:rFonts w:cstheme="minorHAnsi"/>
          <w:sz w:val="24"/>
          <w:szCs w:val="24"/>
        </w:rPr>
        <w:t xml:space="preserve">ublic </w:t>
      </w:r>
      <w:r w:rsidRPr="008349AF">
        <w:rPr>
          <w:rFonts w:cstheme="minorHAnsi"/>
          <w:sz w:val="24"/>
          <w:szCs w:val="24"/>
        </w:rPr>
        <w:t>I</w:t>
      </w:r>
      <w:r w:rsidR="00984526">
        <w:rPr>
          <w:rFonts w:cstheme="minorHAnsi"/>
          <w:sz w:val="24"/>
          <w:szCs w:val="24"/>
        </w:rPr>
        <w:t>nvolvement (PPI)</w:t>
      </w:r>
      <w:r w:rsidRPr="008349AF">
        <w:rPr>
          <w:rFonts w:cstheme="minorHAnsi"/>
          <w:sz w:val="24"/>
          <w:szCs w:val="24"/>
        </w:rPr>
        <w:t xml:space="preserve"> practitioners, </w:t>
      </w:r>
      <w:r w:rsidR="00984526">
        <w:rPr>
          <w:rFonts w:cstheme="minorHAnsi"/>
          <w:sz w:val="24"/>
          <w:szCs w:val="24"/>
        </w:rPr>
        <w:t xml:space="preserve">NHS and </w:t>
      </w:r>
      <w:r w:rsidR="007004D8">
        <w:rPr>
          <w:rFonts w:cstheme="minorHAnsi"/>
          <w:sz w:val="24"/>
          <w:szCs w:val="24"/>
        </w:rPr>
        <w:t xml:space="preserve">local authority staff, </w:t>
      </w:r>
      <w:r w:rsidRPr="008349AF">
        <w:rPr>
          <w:rFonts w:cstheme="minorHAnsi"/>
          <w:sz w:val="24"/>
          <w:szCs w:val="24"/>
        </w:rPr>
        <w:t xml:space="preserve">and public contributors to reflect on </w:t>
      </w:r>
      <w:r w:rsidR="0046278B" w:rsidRPr="0046278B">
        <w:rPr>
          <w:rFonts w:cstheme="minorHAnsi"/>
          <w:sz w:val="24"/>
          <w:szCs w:val="24"/>
        </w:rPr>
        <w:t>(dis)</w:t>
      </w:r>
      <w:r w:rsidRPr="008349AF">
        <w:rPr>
          <w:rFonts w:cstheme="minorHAnsi"/>
          <w:sz w:val="24"/>
          <w:szCs w:val="24"/>
        </w:rPr>
        <w:t>trust</w:t>
      </w:r>
      <w:r w:rsidR="0046278B" w:rsidRPr="0046278B">
        <w:rPr>
          <w:rFonts w:cstheme="minorHAnsi"/>
          <w:sz w:val="24"/>
          <w:szCs w:val="24"/>
        </w:rPr>
        <w:t xml:space="preserve"> in </w:t>
      </w:r>
      <w:r w:rsidRPr="008349AF">
        <w:rPr>
          <w:rFonts w:cstheme="minorHAnsi"/>
          <w:sz w:val="24"/>
          <w:szCs w:val="24"/>
        </w:rPr>
        <w:t xml:space="preserve">health and social care research. Six speakers offered distinct but closely connected perspectives, drawing attention to how everyday research practices, institutional structures, </w:t>
      </w:r>
      <w:r w:rsidR="0046278B" w:rsidRPr="0046278B">
        <w:rPr>
          <w:rFonts w:cstheme="minorHAnsi"/>
          <w:sz w:val="24"/>
          <w:szCs w:val="24"/>
        </w:rPr>
        <w:t xml:space="preserve">power imbalances </w:t>
      </w:r>
      <w:r w:rsidRPr="008349AF">
        <w:rPr>
          <w:rFonts w:cstheme="minorHAnsi"/>
          <w:sz w:val="24"/>
          <w:szCs w:val="24"/>
        </w:rPr>
        <w:t xml:space="preserve">and histories of exclusion shape who participates, how they participate, and </w:t>
      </w:r>
      <w:r w:rsidR="0046278B" w:rsidRPr="0046278B">
        <w:rPr>
          <w:rFonts w:cstheme="minorHAnsi"/>
          <w:sz w:val="24"/>
          <w:szCs w:val="24"/>
        </w:rPr>
        <w:t>degrees of trust</w:t>
      </w:r>
      <w:r w:rsidRPr="008349AF">
        <w:rPr>
          <w:rFonts w:cstheme="minorHAnsi"/>
          <w:sz w:val="24"/>
          <w:szCs w:val="24"/>
        </w:rPr>
        <w:t xml:space="preserve">. The discussion that followed broadened these themes, grounding them in practical challenges around funding, language, </w:t>
      </w:r>
      <w:r w:rsidR="0046278B" w:rsidRPr="0046278B">
        <w:rPr>
          <w:rFonts w:cstheme="minorHAnsi"/>
          <w:sz w:val="24"/>
          <w:szCs w:val="24"/>
        </w:rPr>
        <w:t xml:space="preserve">ethnic and </w:t>
      </w:r>
      <w:r w:rsidRPr="008349AF">
        <w:rPr>
          <w:rFonts w:cstheme="minorHAnsi"/>
          <w:sz w:val="24"/>
          <w:szCs w:val="24"/>
        </w:rPr>
        <w:t>disability inclusion, institutional responsibility, and the burden placed on participants.</w:t>
      </w:r>
    </w:p>
    <w:p w14:paraId="749E8E95" w14:textId="77777777" w:rsidR="008349AF" w:rsidRPr="008349AF" w:rsidRDefault="00984526" w:rsidP="008349AF">
      <w:pPr>
        <w:spacing w:after="0" w:line="240" w:lineRule="auto"/>
        <w:rPr>
          <w:rFonts w:cstheme="minorHAnsi"/>
          <w:sz w:val="24"/>
          <w:szCs w:val="24"/>
        </w:rPr>
      </w:pPr>
      <w:r>
        <w:rPr>
          <w:rFonts w:cstheme="minorHAnsi"/>
          <w:sz w:val="24"/>
          <w:szCs w:val="24"/>
        </w:rPr>
        <w:pict w14:anchorId="06A02EB3">
          <v:rect id="_x0000_i1025" style="width:0;height:1.5pt" o:hralign="center" o:hrstd="t" o:hr="t" fillcolor="#a0a0a0" stroked="f"/>
        </w:pict>
      </w:r>
    </w:p>
    <w:p w14:paraId="01D0D009" w14:textId="77777777" w:rsidR="008349AF" w:rsidRPr="00836DA6" w:rsidRDefault="008349AF" w:rsidP="008349AF">
      <w:pPr>
        <w:spacing w:after="0" w:line="240" w:lineRule="auto"/>
        <w:rPr>
          <w:rFonts w:cstheme="minorHAnsi"/>
          <w:b/>
          <w:bCs/>
          <w:sz w:val="28"/>
          <w:szCs w:val="28"/>
        </w:rPr>
      </w:pPr>
      <w:r w:rsidRPr="00836DA6">
        <w:rPr>
          <w:rFonts w:cstheme="minorHAnsi"/>
          <w:b/>
          <w:bCs/>
          <w:sz w:val="28"/>
          <w:szCs w:val="28"/>
        </w:rPr>
        <w:t>Speaker Summaries</w:t>
      </w:r>
    </w:p>
    <w:p w14:paraId="5BDDE0CF" w14:textId="77777777" w:rsidR="00836DA6" w:rsidRPr="008349AF" w:rsidRDefault="00836DA6" w:rsidP="008349AF">
      <w:pPr>
        <w:spacing w:after="0" w:line="240" w:lineRule="auto"/>
        <w:rPr>
          <w:rFonts w:cstheme="minorHAnsi"/>
          <w:b/>
          <w:bCs/>
          <w:sz w:val="24"/>
          <w:szCs w:val="24"/>
        </w:rPr>
      </w:pPr>
    </w:p>
    <w:p w14:paraId="75ED1128" w14:textId="0B61E06E" w:rsidR="0046278B" w:rsidRPr="0046278B" w:rsidRDefault="008349AF" w:rsidP="0046278B">
      <w:pPr>
        <w:spacing w:after="0" w:line="240" w:lineRule="auto"/>
        <w:rPr>
          <w:rFonts w:cstheme="minorHAnsi"/>
          <w:b/>
          <w:bCs/>
          <w:sz w:val="24"/>
          <w:szCs w:val="24"/>
        </w:rPr>
      </w:pPr>
      <w:r w:rsidRPr="008349AF">
        <w:rPr>
          <w:rFonts w:cstheme="minorHAnsi"/>
          <w:b/>
          <w:bCs/>
          <w:sz w:val="24"/>
          <w:szCs w:val="24"/>
        </w:rPr>
        <w:t>Mary</w:t>
      </w:r>
      <w:r w:rsidR="0046278B" w:rsidRPr="0046278B">
        <w:rPr>
          <w:rFonts w:cstheme="minorHAnsi"/>
          <w:b/>
          <w:bCs/>
          <w:sz w:val="24"/>
          <w:szCs w:val="24"/>
        </w:rPr>
        <w:t xml:space="preserve"> Ledgard, Public Contributor, </w:t>
      </w:r>
      <w:r w:rsidR="0046278B" w:rsidRPr="0046278B">
        <w:rPr>
          <w:rFonts w:cstheme="minorHAnsi"/>
          <w:b/>
          <w:bCs/>
          <w:i/>
          <w:iCs/>
          <w:sz w:val="24"/>
          <w:szCs w:val="24"/>
        </w:rPr>
        <w:t>Inclusive Involvement in Research for Practice-led Health and Social Care Theme NIHR ARC East of England, University of East Anglia</w:t>
      </w:r>
    </w:p>
    <w:p w14:paraId="42C99DF2" w14:textId="22B81748" w:rsidR="008349AF" w:rsidRPr="008349AF" w:rsidRDefault="008349AF" w:rsidP="008349AF">
      <w:pPr>
        <w:spacing w:after="0" w:line="240" w:lineRule="auto"/>
        <w:rPr>
          <w:rFonts w:cstheme="minorHAnsi"/>
          <w:b/>
          <w:bCs/>
          <w:sz w:val="28"/>
          <w:szCs w:val="28"/>
        </w:rPr>
      </w:pPr>
      <w:r w:rsidRPr="008349AF">
        <w:rPr>
          <w:rFonts w:cstheme="minorHAnsi"/>
          <w:b/>
          <w:bCs/>
          <w:sz w:val="28"/>
          <w:szCs w:val="28"/>
        </w:rPr>
        <w:t>The Importance of Clarity of Roles</w:t>
      </w:r>
    </w:p>
    <w:p w14:paraId="4BBD1AFE"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Mary emphasised that clarity of roles is a fundamental prerequisite for meaningful public and patient involvement. She argued that when roles are poorly defined, involvement risks becoming tokenistic or confusing, leaving contributors uncertain about their responsibilities, limits of influence, or expected contributions. Lack of clarity can undermine confidence and trust, particularly for people who are new to research settings or who have previously experienced exclusion.</w:t>
      </w:r>
    </w:p>
    <w:p w14:paraId="30C15718"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Mary’s contribution highlighted that role clarity is not merely administrative but relational and ethical. Clear roles support accountability on both sides: researchers are clearer about what they are asking of contributors, and contributors can more easily judge whether their involvement is worthwhile, fair, and respectful of their time and expertise. This framing positioned role clarity as a foundation for trust rather than a bureaucratic exercise.</w:t>
      </w:r>
    </w:p>
    <w:p w14:paraId="0436FEE0" w14:textId="77777777" w:rsidR="008349AF" w:rsidRPr="008349AF" w:rsidRDefault="00984526" w:rsidP="008349AF">
      <w:pPr>
        <w:spacing w:after="0" w:line="240" w:lineRule="auto"/>
        <w:rPr>
          <w:rFonts w:cstheme="minorHAnsi"/>
          <w:sz w:val="24"/>
          <w:szCs w:val="24"/>
        </w:rPr>
      </w:pPr>
      <w:r>
        <w:rPr>
          <w:rFonts w:cstheme="minorHAnsi"/>
          <w:sz w:val="24"/>
          <w:szCs w:val="24"/>
        </w:rPr>
        <w:pict w14:anchorId="4A2C2DAB">
          <v:rect id="_x0000_i1026" style="width:0;height:1.5pt" o:hralign="center" o:hrstd="t" o:hr="t" fillcolor="#a0a0a0" stroked="f"/>
        </w:pict>
      </w:r>
    </w:p>
    <w:p w14:paraId="0D78BE18" w14:textId="28F9FCA2" w:rsidR="0046278B" w:rsidRPr="0046278B" w:rsidRDefault="008349AF" w:rsidP="0046278B">
      <w:pPr>
        <w:spacing w:after="0" w:line="240" w:lineRule="auto"/>
        <w:rPr>
          <w:rFonts w:cstheme="minorHAnsi"/>
          <w:b/>
          <w:bCs/>
          <w:sz w:val="24"/>
          <w:szCs w:val="24"/>
        </w:rPr>
      </w:pPr>
      <w:r w:rsidRPr="008349AF">
        <w:rPr>
          <w:rFonts w:cstheme="minorHAnsi"/>
          <w:b/>
          <w:bCs/>
          <w:sz w:val="24"/>
          <w:szCs w:val="24"/>
        </w:rPr>
        <w:t>Lara</w:t>
      </w:r>
      <w:r w:rsidR="0046278B" w:rsidRPr="0046278B">
        <w:rPr>
          <w:rFonts w:cstheme="minorHAnsi"/>
          <w:b/>
          <w:bCs/>
          <w:sz w:val="24"/>
          <w:szCs w:val="24"/>
        </w:rPr>
        <w:t xml:space="preserve"> Williamson, </w:t>
      </w:r>
      <w:r w:rsidR="0046278B" w:rsidRPr="0046278B">
        <w:rPr>
          <w:rFonts w:cstheme="minorHAnsi"/>
          <w:b/>
          <w:bCs/>
          <w:i/>
          <w:iCs/>
          <w:sz w:val="24"/>
          <w:szCs w:val="24"/>
        </w:rPr>
        <w:t>Postgraduate Researcher, Inclusive Involvement in Research for Practice-led Health and Social Care Theme NIHR ARC East of England, University of East Anglia</w:t>
      </w:r>
    </w:p>
    <w:p w14:paraId="4CDC91F8" w14:textId="32B2F7A1" w:rsidR="008349AF" w:rsidRPr="008349AF" w:rsidRDefault="008349AF" w:rsidP="008349AF">
      <w:pPr>
        <w:spacing w:after="0" w:line="240" w:lineRule="auto"/>
        <w:rPr>
          <w:rFonts w:cstheme="minorHAnsi"/>
          <w:b/>
          <w:bCs/>
          <w:sz w:val="28"/>
          <w:szCs w:val="28"/>
        </w:rPr>
      </w:pPr>
      <w:r w:rsidRPr="008349AF">
        <w:rPr>
          <w:rFonts w:cstheme="minorHAnsi"/>
          <w:b/>
          <w:bCs/>
          <w:sz w:val="28"/>
          <w:szCs w:val="28"/>
        </w:rPr>
        <w:t>Trusting Relationships Beyond Rapport</w:t>
      </w:r>
    </w:p>
    <w:p w14:paraId="5A07978B" w14:textId="6F20F66B" w:rsidR="00A83609" w:rsidRPr="00A83609" w:rsidRDefault="00A83609" w:rsidP="00A83609">
      <w:pPr>
        <w:spacing w:after="0" w:line="240" w:lineRule="auto"/>
        <w:rPr>
          <w:rFonts w:cstheme="minorHAnsi"/>
          <w:sz w:val="24"/>
          <w:szCs w:val="24"/>
        </w:rPr>
      </w:pPr>
      <w:r w:rsidRPr="00A83609">
        <w:rPr>
          <w:rFonts w:cstheme="minorHAnsi"/>
          <w:sz w:val="24"/>
          <w:szCs w:val="24"/>
        </w:rPr>
        <w:t xml:space="preserve">Lara focused on the nature of trusting relationships and warned against equating them solely with rapport-building. While friendly interactions and good communication are important, she argued that trusting relationships are built over time through consistency, reliability, and demonstrated respect. This includes following through on commitments, being honest about constraints, and acknowledging and trying to mitigate power imbalances rather than glossing over them. </w:t>
      </w:r>
    </w:p>
    <w:p w14:paraId="704D9133" w14:textId="77777777" w:rsidR="00A83609" w:rsidRPr="00A83609" w:rsidRDefault="00A83609" w:rsidP="00A83609">
      <w:pPr>
        <w:spacing w:after="0" w:line="240" w:lineRule="auto"/>
        <w:rPr>
          <w:rFonts w:cstheme="minorHAnsi"/>
          <w:sz w:val="24"/>
          <w:szCs w:val="24"/>
        </w:rPr>
      </w:pPr>
      <w:r w:rsidRPr="00A83609">
        <w:rPr>
          <w:rFonts w:cstheme="minorHAnsi"/>
          <w:sz w:val="24"/>
          <w:szCs w:val="24"/>
        </w:rPr>
        <w:t xml:space="preserve">Her contribution challenged superficial approaches to engagement that prioritise positive tone over substance. For Lara, credibility is fragile and trusting relationships emerges from long-term relational work that takes time and energy to create and maintain. This perspective underscored that trust cannot be rushed or presumed, it also considered how trusting relationships operate at different levels, from individual to institutional, and that this context might mean that someone could trust someone else at one level but not </w:t>
      </w:r>
      <w:r w:rsidRPr="00A83609">
        <w:rPr>
          <w:rFonts w:cstheme="minorHAnsi"/>
          <w:sz w:val="24"/>
          <w:szCs w:val="24"/>
        </w:rPr>
        <w:lastRenderedPageBreak/>
        <w:t xml:space="preserve">another. Lara concluded that inclusivity requires sustained genuine commitment to improving inclusive trusting relationships. </w:t>
      </w:r>
    </w:p>
    <w:p w14:paraId="6AC84C55" w14:textId="77777777" w:rsidR="00A83609" w:rsidRPr="00A83609" w:rsidRDefault="00A83609" w:rsidP="00A83609">
      <w:pPr>
        <w:spacing w:after="0" w:line="240" w:lineRule="auto"/>
        <w:rPr>
          <w:rFonts w:cstheme="minorHAnsi"/>
          <w:sz w:val="24"/>
          <w:szCs w:val="24"/>
        </w:rPr>
      </w:pPr>
    </w:p>
    <w:p w14:paraId="3A2CCEF2" w14:textId="77777777" w:rsidR="00A83609" w:rsidRPr="008349AF" w:rsidRDefault="00A83609" w:rsidP="008349AF">
      <w:pPr>
        <w:spacing w:after="0" w:line="240" w:lineRule="auto"/>
        <w:rPr>
          <w:rFonts w:cstheme="minorHAnsi"/>
          <w:sz w:val="24"/>
          <w:szCs w:val="24"/>
        </w:rPr>
      </w:pPr>
    </w:p>
    <w:p w14:paraId="05F60520" w14:textId="77777777" w:rsidR="008349AF" w:rsidRPr="008349AF" w:rsidRDefault="00984526" w:rsidP="008349AF">
      <w:pPr>
        <w:spacing w:after="0" w:line="240" w:lineRule="auto"/>
        <w:rPr>
          <w:rFonts w:cstheme="minorHAnsi"/>
          <w:sz w:val="24"/>
          <w:szCs w:val="24"/>
        </w:rPr>
      </w:pPr>
      <w:r>
        <w:rPr>
          <w:rFonts w:cstheme="minorHAnsi"/>
          <w:sz w:val="24"/>
          <w:szCs w:val="24"/>
        </w:rPr>
        <w:pict w14:anchorId="1BE0DA84">
          <v:rect id="_x0000_i1027" style="width:0;height:1.5pt" o:hralign="center" o:hrstd="t" o:hr="t" fillcolor="#a0a0a0" stroked="f"/>
        </w:pict>
      </w:r>
    </w:p>
    <w:p w14:paraId="46623C8B" w14:textId="065A271B" w:rsidR="0046278B" w:rsidRPr="0046278B" w:rsidRDefault="008349AF" w:rsidP="0046278B">
      <w:pPr>
        <w:spacing w:after="0" w:line="240" w:lineRule="auto"/>
        <w:rPr>
          <w:rFonts w:cstheme="minorHAnsi"/>
          <w:b/>
          <w:bCs/>
          <w:sz w:val="24"/>
          <w:szCs w:val="24"/>
        </w:rPr>
      </w:pPr>
      <w:r w:rsidRPr="008349AF">
        <w:rPr>
          <w:rFonts w:cstheme="minorHAnsi"/>
          <w:b/>
          <w:bCs/>
          <w:sz w:val="24"/>
          <w:szCs w:val="24"/>
        </w:rPr>
        <w:t>Fiona</w:t>
      </w:r>
      <w:r w:rsidR="0046278B" w:rsidRPr="0046278B">
        <w:rPr>
          <w:rFonts w:cstheme="minorHAnsi"/>
          <w:b/>
          <w:bCs/>
          <w:sz w:val="24"/>
          <w:szCs w:val="24"/>
        </w:rPr>
        <w:t xml:space="preserve"> Poland, Professor of Social Research Methodology, </w:t>
      </w:r>
      <w:r w:rsidR="0046278B" w:rsidRPr="0046278B">
        <w:rPr>
          <w:rFonts w:cstheme="minorHAnsi"/>
          <w:b/>
          <w:bCs/>
          <w:i/>
          <w:iCs/>
          <w:sz w:val="24"/>
          <w:szCs w:val="24"/>
        </w:rPr>
        <w:t>Inclusive Involvement in Research for Practice-led Health and Social Care Theme NIHR ARC East of England, University of East Anglia</w:t>
      </w:r>
    </w:p>
    <w:p w14:paraId="4A2F4CBB" w14:textId="7667246A" w:rsidR="008349AF" w:rsidRPr="008349AF" w:rsidRDefault="008349AF" w:rsidP="008349AF">
      <w:pPr>
        <w:spacing w:after="0" w:line="240" w:lineRule="auto"/>
        <w:rPr>
          <w:rFonts w:cstheme="minorHAnsi"/>
          <w:b/>
          <w:bCs/>
          <w:sz w:val="28"/>
          <w:szCs w:val="28"/>
        </w:rPr>
      </w:pPr>
      <w:r w:rsidRPr="008349AF">
        <w:rPr>
          <w:rFonts w:cstheme="minorHAnsi"/>
          <w:b/>
          <w:bCs/>
          <w:sz w:val="28"/>
          <w:szCs w:val="28"/>
        </w:rPr>
        <w:t>Orientation, Consent, and Navigating Research Spaces</w:t>
      </w:r>
    </w:p>
    <w:p w14:paraId="139F6CF1"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Fiona drew attention to how research environments themselves can be excluding. She highlighted the importance of orientating people properly within meetings, projects, and decision-making processes, and ensuring that consent is genuinely informed rather than assumed. Research meetings often rely on implicit norms, specialised language, and unspoken expectations that can marginalise contributors who are unfamiliar with academic or clinical cultures.</w:t>
      </w:r>
    </w:p>
    <w:p w14:paraId="66230635"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Her contribution stressed that inclusion requires attention to these micro-level practices. Orientation is not simply about providing information once at the start, but about ongoing support that enables people to understand what is happening, why it matters, and how they can contribute meaningfully. Fiona’s focus reinforced the idea that accessibility is an ongoing process rather than a one-off adjustment.</w:t>
      </w:r>
    </w:p>
    <w:p w14:paraId="68B202FB" w14:textId="77777777" w:rsidR="008349AF" w:rsidRPr="008349AF" w:rsidRDefault="00984526" w:rsidP="008349AF">
      <w:pPr>
        <w:spacing w:after="0" w:line="240" w:lineRule="auto"/>
        <w:rPr>
          <w:rFonts w:cstheme="minorHAnsi"/>
          <w:sz w:val="24"/>
          <w:szCs w:val="24"/>
        </w:rPr>
      </w:pPr>
      <w:r>
        <w:rPr>
          <w:rFonts w:cstheme="minorHAnsi"/>
          <w:sz w:val="24"/>
          <w:szCs w:val="24"/>
        </w:rPr>
        <w:pict w14:anchorId="1C2BC209">
          <v:rect id="_x0000_i1028" style="width:0;height:1.5pt" o:hralign="center" o:hrstd="t" o:hr="t" fillcolor="#a0a0a0" stroked="f"/>
        </w:pict>
      </w:r>
    </w:p>
    <w:p w14:paraId="373D9FE3" w14:textId="522B9A7D" w:rsidR="005847B3" w:rsidRDefault="008349AF" w:rsidP="008349AF">
      <w:pPr>
        <w:spacing w:after="0" w:line="240" w:lineRule="auto"/>
        <w:rPr>
          <w:rFonts w:cstheme="minorHAnsi"/>
          <w:b/>
          <w:bCs/>
          <w:i/>
          <w:iCs/>
          <w:sz w:val="24"/>
          <w:szCs w:val="24"/>
        </w:rPr>
      </w:pPr>
      <w:r w:rsidRPr="008349AF">
        <w:rPr>
          <w:rFonts w:cstheme="minorHAnsi"/>
          <w:b/>
          <w:bCs/>
          <w:sz w:val="24"/>
          <w:szCs w:val="24"/>
        </w:rPr>
        <w:t>Sally</w:t>
      </w:r>
      <w:r w:rsidR="005847B3">
        <w:rPr>
          <w:rFonts w:cstheme="minorHAnsi"/>
          <w:b/>
          <w:bCs/>
          <w:sz w:val="24"/>
          <w:szCs w:val="24"/>
        </w:rPr>
        <w:t xml:space="preserve"> Burrows, Senior Research Associate, </w:t>
      </w:r>
      <w:r w:rsidR="005847B3" w:rsidRPr="0046278B">
        <w:rPr>
          <w:rFonts w:cstheme="minorHAnsi"/>
          <w:b/>
          <w:bCs/>
          <w:i/>
          <w:iCs/>
          <w:sz w:val="24"/>
          <w:szCs w:val="24"/>
        </w:rPr>
        <w:t>Inclusive Involvement Theme NIHR ARC East of England, University of East Angli</w:t>
      </w:r>
      <w:r w:rsidR="005847B3">
        <w:rPr>
          <w:rFonts w:cstheme="minorHAnsi"/>
          <w:b/>
          <w:bCs/>
          <w:i/>
          <w:iCs/>
          <w:sz w:val="24"/>
          <w:szCs w:val="24"/>
        </w:rPr>
        <w:t>a and University of Essex</w:t>
      </w:r>
    </w:p>
    <w:p w14:paraId="10294E53" w14:textId="0324D64B" w:rsidR="008349AF" w:rsidRPr="008349AF" w:rsidRDefault="008349AF" w:rsidP="008349AF">
      <w:pPr>
        <w:spacing w:after="0" w:line="240" w:lineRule="auto"/>
        <w:rPr>
          <w:rFonts w:cstheme="minorHAnsi"/>
          <w:b/>
          <w:bCs/>
          <w:sz w:val="24"/>
          <w:szCs w:val="24"/>
        </w:rPr>
      </w:pPr>
      <w:r w:rsidRPr="008349AF">
        <w:rPr>
          <w:rFonts w:cstheme="minorHAnsi"/>
          <w:b/>
          <w:bCs/>
          <w:sz w:val="28"/>
          <w:szCs w:val="28"/>
        </w:rPr>
        <w:t>Distrust as Rational and Dynamic</w:t>
      </w:r>
    </w:p>
    <w:p w14:paraId="1BAE724A" w14:textId="3FC99D5D" w:rsidR="008349AF" w:rsidRPr="008349AF" w:rsidRDefault="008349AF" w:rsidP="008349AF">
      <w:pPr>
        <w:spacing w:after="0" w:line="240" w:lineRule="auto"/>
        <w:rPr>
          <w:rFonts w:cstheme="minorHAnsi"/>
          <w:sz w:val="24"/>
          <w:szCs w:val="24"/>
        </w:rPr>
      </w:pPr>
      <w:r w:rsidRPr="008349AF">
        <w:rPr>
          <w:rFonts w:cstheme="minorHAnsi"/>
          <w:sz w:val="24"/>
          <w:szCs w:val="24"/>
        </w:rPr>
        <w:t>Sally reframed distrust as a rational and contextually grounded response rather than a problem to be fixed. Drawing on Gypsy, Roma and Traveller perspectives and wider sociological theory, she highlighted that communities may distrust research and institutions because of historical and ongoing experiences of discrimination, surveillance, and harm.</w:t>
      </w:r>
    </w:p>
    <w:p w14:paraId="0E6333D6"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She emphasised that distrust is dynamic rather than static: it changes in response to experience, behaviour, and context. From this perspective, building trust is not about persuading people to overcome distrust but about recognising its legitimacy and addressing the structural and relational factors that produce it. Sally’s contribution encouraged researchers to take responsibility for how their practices may reproduce inequality, rather than locating distrust solely within participants.</w:t>
      </w:r>
    </w:p>
    <w:p w14:paraId="0EC86001" w14:textId="77777777" w:rsidR="008349AF" w:rsidRPr="008349AF" w:rsidRDefault="00984526" w:rsidP="008349AF">
      <w:pPr>
        <w:spacing w:after="0" w:line="240" w:lineRule="auto"/>
        <w:rPr>
          <w:rFonts w:cstheme="minorHAnsi"/>
          <w:sz w:val="24"/>
          <w:szCs w:val="24"/>
        </w:rPr>
      </w:pPr>
      <w:r>
        <w:rPr>
          <w:rFonts w:cstheme="minorHAnsi"/>
          <w:sz w:val="24"/>
          <w:szCs w:val="24"/>
        </w:rPr>
        <w:pict w14:anchorId="55BFA311">
          <v:rect id="_x0000_i1029" style="width:0;height:1.5pt" o:hralign="center" o:hrstd="t" o:hr="t" fillcolor="#a0a0a0" stroked="f"/>
        </w:pict>
      </w:r>
    </w:p>
    <w:p w14:paraId="38B49EF2" w14:textId="101C248E" w:rsidR="005847B3" w:rsidRDefault="008349AF" w:rsidP="008349AF">
      <w:pPr>
        <w:spacing w:after="0" w:line="240" w:lineRule="auto"/>
        <w:rPr>
          <w:rFonts w:cstheme="minorHAnsi"/>
          <w:b/>
          <w:bCs/>
          <w:sz w:val="24"/>
          <w:szCs w:val="24"/>
        </w:rPr>
      </w:pPr>
      <w:r w:rsidRPr="008349AF">
        <w:rPr>
          <w:rFonts w:cstheme="minorHAnsi"/>
          <w:b/>
          <w:bCs/>
          <w:sz w:val="24"/>
          <w:szCs w:val="24"/>
        </w:rPr>
        <w:t>Katherine</w:t>
      </w:r>
      <w:r w:rsidR="005847B3">
        <w:rPr>
          <w:rFonts w:cstheme="minorHAnsi"/>
          <w:b/>
          <w:bCs/>
          <w:sz w:val="24"/>
          <w:szCs w:val="24"/>
        </w:rPr>
        <w:t xml:space="preserve"> Deane, Associate Professor in the School of Health Sciences,</w:t>
      </w:r>
      <w:r w:rsidR="005847B3" w:rsidRPr="005847B3">
        <w:rPr>
          <w:rFonts w:cstheme="minorHAnsi"/>
          <w:b/>
          <w:bCs/>
          <w:i/>
          <w:iCs/>
          <w:sz w:val="24"/>
          <w:szCs w:val="24"/>
        </w:rPr>
        <w:t xml:space="preserve"> </w:t>
      </w:r>
      <w:r w:rsidR="005847B3" w:rsidRPr="0046278B">
        <w:rPr>
          <w:rFonts w:cstheme="minorHAnsi"/>
          <w:b/>
          <w:bCs/>
          <w:i/>
          <w:iCs/>
          <w:sz w:val="24"/>
          <w:szCs w:val="24"/>
        </w:rPr>
        <w:t>University of East Anglia</w:t>
      </w:r>
    </w:p>
    <w:p w14:paraId="3817AFE0" w14:textId="4CBFAEAE" w:rsidR="008349AF" w:rsidRPr="008349AF" w:rsidRDefault="008349AF" w:rsidP="008349AF">
      <w:pPr>
        <w:spacing w:after="0" w:line="240" w:lineRule="auto"/>
        <w:rPr>
          <w:rFonts w:cstheme="minorHAnsi"/>
          <w:b/>
          <w:bCs/>
          <w:sz w:val="24"/>
          <w:szCs w:val="24"/>
        </w:rPr>
      </w:pPr>
      <w:r w:rsidRPr="008349AF">
        <w:rPr>
          <w:rFonts w:cstheme="minorHAnsi"/>
          <w:b/>
          <w:bCs/>
          <w:sz w:val="28"/>
          <w:szCs w:val="28"/>
        </w:rPr>
        <w:t>Disability and Systematic Exclusion</w:t>
      </w:r>
    </w:p>
    <w:p w14:paraId="7FC2EFF9"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Katherine focused on disability and the systematic exclusion of disabled people from research. She highlighted evidence showing that a significant proportion of clinical trials explicitly exclude disabled people, often without adequate justification. This exclusion has profound implications for equity, knowledge production, and the relevance of research findings to real-world populations.</w:t>
      </w:r>
    </w:p>
    <w:p w14:paraId="747D2E39"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 xml:space="preserve">Her contribution challenged assumptions about who research is “for” and whose bodies, experiences, and needs are considered standard. Katherine argued that exclusion is often embedded in routine design decisions, such as eligibility criteria and accessibility </w:t>
      </w:r>
      <w:r w:rsidRPr="008349AF">
        <w:rPr>
          <w:rFonts w:cstheme="minorHAnsi"/>
          <w:sz w:val="24"/>
          <w:szCs w:val="24"/>
        </w:rPr>
        <w:lastRenderedPageBreak/>
        <w:t>arrangements, rather than resulting from overt discrimination. Addressing this issue requires structural change in how studies are designed, reviewed, and funded.</w:t>
      </w:r>
    </w:p>
    <w:p w14:paraId="458D81DA" w14:textId="77777777" w:rsidR="00836DA6" w:rsidRDefault="00836DA6" w:rsidP="00836DA6">
      <w:pPr>
        <w:spacing w:after="0" w:line="240" w:lineRule="auto"/>
        <w:rPr>
          <w:rFonts w:cstheme="minorHAnsi"/>
          <w:sz w:val="24"/>
          <w:szCs w:val="24"/>
        </w:rPr>
      </w:pPr>
    </w:p>
    <w:p w14:paraId="12194494" w14:textId="487EDA67" w:rsidR="005847B3" w:rsidRPr="00836DA6" w:rsidRDefault="00984526" w:rsidP="00836DA6">
      <w:pPr>
        <w:spacing w:after="0" w:line="240" w:lineRule="auto"/>
        <w:rPr>
          <w:rFonts w:cstheme="minorHAnsi"/>
          <w:sz w:val="24"/>
          <w:szCs w:val="24"/>
        </w:rPr>
      </w:pPr>
      <w:r>
        <w:rPr>
          <w:rFonts w:cstheme="minorHAnsi"/>
          <w:sz w:val="24"/>
          <w:szCs w:val="24"/>
        </w:rPr>
        <w:pict w14:anchorId="33DFAE2D">
          <v:rect id="_x0000_i1030" style="width:0;height:1.5pt" o:hralign="center" o:hrstd="t" o:hr="t" fillcolor="#a0a0a0" stroked="f"/>
        </w:pict>
      </w:r>
      <w:r w:rsidR="008349AF" w:rsidRPr="008349AF">
        <w:rPr>
          <w:rFonts w:cstheme="minorHAnsi"/>
          <w:b/>
          <w:bCs/>
          <w:sz w:val="24"/>
          <w:szCs w:val="24"/>
        </w:rPr>
        <w:t>Laura</w:t>
      </w:r>
      <w:r w:rsidR="005847B3">
        <w:rPr>
          <w:rFonts w:cstheme="minorHAnsi"/>
          <w:b/>
          <w:bCs/>
          <w:sz w:val="24"/>
          <w:szCs w:val="24"/>
        </w:rPr>
        <w:t xml:space="preserve"> Watts,</w:t>
      </w:r>
      <w:r w:rsidR="005847B3" w:rsidRPr="005847B3">
        <w:rPr>
          <w:rFonts w:cstheme="minorHAnsi"/>
          <w:b/>
          <w:bCs/>
          <w:sz w:val="24"/>
          <w:szCs w:val="24"/>
        </w:rPr>
        <w:t xml:space="preserve"> </w:t>
      </w:r>
      <w:r w:rsidR="005847B3">
        <w:rPr>
          <w:rFonts w:cstheme="minorHAnsi"/>
          <w:b/>
          <w:bCs/>
          <w:sz w:val="24"/>
          <w:szCs w:val="24"/>
        </w:rPr>
        <w:t xml:space="preserve">Senior Research Associate, </w:t>
      </w:r>
      <w:r w:rsidR="005847B3" w:rsidRPr="0046278B">
        <w:rPr>
          <w:rFonts w:cstheme="minorHAnsi"/>
          <w:b/>
          <w:bCs/>
          <w:i/>
          <w:iCs/>
          <w:sz w:val="24"/>
          <w:szCs w:val="24"/>
        </w:rPr>
        <w:t>Inclusive Involvement Theme NIHR ARC East of England, University of East Angli</w:t>
      </w:r>
      <w:r w:rsidR="005847B3">
        <w:rPr>
          <w:rFonts w:cstheme="minorHAnsi"/>
          <w:b/>
          <w:bCs/>
          <w:i/>
          <w:iCs/>
          <w:sz w:val="24"/>
          <w:szCs w:val="24"/>
        </w:rPr>
        <w:t>a</w:t>
      </w:r>
    </w:p>
    <w:p w14:paraId="5448A439" w14:textId="1D6FE6FF" w:rsidR="008349AF" w:rsidRPr="008349AF" w:rsidRDefault="008349AF" w:rsidP="008349AF">
      <w:pPr>
        <w:spacing w:after="0" w:line="240" w:lineRule="auto"/>
        <w:rPr>
          <w:rFonts w:cstheme="minorHAnsi"/>
          <w:b/>
          <w:bCs/>
          <w:sz w:val="28"/>
          <w:szCs w:val="28"/>
        </w:rPr>
      </w:pPr>
      <w:r w:rsidRPr="008349AF">
        <w:rPr>
          <w:rFonts w:cstheme="minorHAnsi"/>
          <w:b/>
          <w:bCs/>
          <w:sz w:val="28"/>
          <w:szCs w:val="28"/>
        </w:rPr>
        <w:t>Distance, Power, and Institutional Structures</w:t>
      </w:r>
    </w:p>
    <w:p w14:paraId="01D1025E"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Laura reflected on the distance between principal investigators and participants, particularly in large or complex research projects. She highlighted how institutional hierarchies and organisational separation can weaken relationships, obscure accountability, and make it harder for participants’ voices to influence decision-making.</w:t>
      </w:r>
    </w:p>
    <w:p w14:paraId="4A547F0E" w14:textId="77777777" w:rsidR="008349AF" w:rsidRDefault="008349AF" w:rsidP="008349AF">
      <w:pPr>
        <w:spacing w:after="0" w:line="240" w:lineRule="auto"/>
        <w:rPr>
          <w:rFonts w:cstheme="minorHAnsi"/>
          <w:sz w:val="24"/>
          <w:szCs w:val="24"/>
        </w:rPr>
      </w:pPr>
      <w:r w:rsidRPr="008349AF">
        <w:rPr>
          <w:rFonts w:cstheme="minorHAnsi"/>
          <w:sz w:val="24"/>
          <w:szCs w:val="24"/>
        </w:rPr>
        <w:t>Her contribution linked individual experiences of involvement to broader structural conditions, suggesting that meaningful PPI cannot be divorced from questions of power, governance, and responsibility within research institutions. Laura’s perspective reinforced the idea that inclusion is shaped not only by individual attitudes but also by how research systems are organised.</w:t>
      </w:r>
    </w:p>
    <w:p w14:paraId="06811773" w14:textId="77777777" w:rsidR="00836DA6" w:rsidRPr="008349AF" w:rsidRDefault="00836DA6" w:rsidP="008349AF">
      <w:pPr>
        <w:spacing w:after="0" w:line="240" w:lineRule="auto"/>
        <w:rPr>
          <w:rFonts w:cstheme="minorHAnsi"/>
          <w:sz w:val="24"/>
          <w:szCs w:val="24"/>
        </w:rPr>
      </w:pPr>
    </w:p>
    <w:p w14:paraId="269B0AB1" w14:textId="77777777" w:rsidR="008349AF" w:rsidRPr="008349AF" w:rsidRDefault="00984526" w:rsidP="008349AF">
      <w:pPr>
        <w:spacing w:after="0" w:line="240" w:lineRule="auto"/>
        <w:rPr>
          <w:rFonts w:cstheme="minorHAnsi"/>
          <w:sz w:val="24"/>
          <w:szCs w:val="24"/>
        </w:rPr>
      </w:pPr>
      <w:r>
        <w:rPr>
          <w:rFonts w:cstheme="minorHAnsi"/>
          <w:sz w:val="24"/>
          <w:szCs w:val="24"/>
        </w:rPr>
        <w:pict w14:anchorId="2729B683">
          <v:rect id="_x0000_i1031" style="width:0;height:1.5pt" o:hralign="center" o:hrstd="t" o:hr="t" fillcolor="#a0a0a0" stroked="f"/>
        </w:pict>
      </w:r>
    </w:p>
    <w:p w14:paraId="24F5E12C" w14:textId="77777777" w:rsidR="008349AF" w:rsidRPr="00836DA6" w:rsidRDefault="008349AF" w:rsidP="008349AF">
      <w:pPr>
        <w:spacing w:after="0" w:line="240" w:lineRule="auto"/>
        <w:rPr>
          <w:rFonts w:cstheme="minorHAnsi"/>
          <w:b/>
          <w:bCs/>
          <w:sz w:val="28"/>
          <w:szCs w:val="28"/>
        </w:rPr>
      </w:pPr>
      <w:r w:rsidRPr="00836DA6">
        <w:rPr>
          <w:rFonts w:cstheme="minorHAnsi"/>
          <w:b/>
          <w:bCs/>
          <w:sz w:val="28"/>
          <w:szCs w:val="28"/>
        </w:rPr>
        <w:t>Key Themes from the Discussion</w:t>
      </w:r>
    </w:p>
    <w:p w14:paraId="519FD58B" w14:textId="77777777" w:rsidR="00836DA6" w:rsidRPr="008349AF" w:rsidRDefault="00836DA6" w:rsidP="008349AF">
      <w:pPr>
        <w:spacing w:after="0" w:line="240" w:lineRule="auto"/>
        <w:rPr>
          <w:rFonts w:cstheme="minorHAnsi"/>
          <w:b/>
          <w:bCs/>
          <w:sz w:val="24"/>
          <w:szCs w:val="24"/>
        </w:rPr>
      </w:pPr>
    </w:p>
    <w:p w14:paraId="07CC29A8" w14:textId="77777777" w:rsidR="008349AF" w:rsidRPr="008349AF" w:rsidRDefault="008349AF" w:rsidP="008349AF">
      <w:pPr>
        <w:spacing w:after="0" w:line="240" w:lineRule="auto"/>
        <w:rPr>
          <w:rFonts w:cstheme="minorHAnsi"/>
          <w:b/>
          <w:bCs/>
          <w:sz w:val="28"/>
          <w:szCs w:val="28"/>
        </w:rPr>
      </w:pPr>
      <w:r w:rsidRPr="008349AF">
        <w:rPr>
          <w:rFonts w:cstheme="minorHAnsi"/>
          <w:b/>
          <w:bCs/>
          <w:sz w:val="28"/>
          <w:szCs w:val="28"/>
        </w:rPr>
        <w:t>Language, Identity, and Respect</w:t>
      </w:r>
    </w:p>
    <w:p w14:paraId="3E66CF40"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One strand of discussion focused on language, particularly the term “patient.” Participants noted that while some people prefer alternative terms, others actively want to be called patients, especially in NHS contexts. The discussion highlighted that inclusive practice involves recognising diversity of preference and avoiding one-size-fits-all language policies. Respect lies in offering choice and being attentive to context, rather than assuming what terms are empowering or acceptable.</w:t>
      </w:r>
    </w:p>
    <w:p w14:paraId="09298D17" w14:textId="77777777" w:rsidR="008349AF" w:rsidRPr="008349AF" w:rsidRDefault="00984526" w:rsidP="008349AF">
      <w:pPr>
        <w:spacing w:after="0" w:line="240" w:lineRule="auto"/>
        <w:rPr>
          <w:rFonts w:cstheme="minorHAnsi"/>
          <w:sz w:val="24"/>
          <w:szCs w:val="24"/>
        </w:rPr>
      </w:pPr>
      <w:r>
        <w:rPr>
          <w:rFonts w:cstheme="minorHAnsi"/>
          <w:sz w:val="24"/>
          <w:szCs w:val="24"/>
        </w:rPr>
        <w:pict w14:anchorId="064B81FB">
          <v:rect id="_x0000_i1032" style="width:0;height:1.5pt" o:hralign="center" o:hrstd="t" o:hr="t" fillcolor="#a0a0a0" stroked="f"/>
        </w:pict>
      </w:r>
    </w:p>
    <w:p w14:paraId="1A165FBC" w14:textId="77777777" w:rsidR="008349AF" w:rsidRPr="008349AF" w:rsidRDefault="008349AF" w:rsidP="008349AF">
      <w:pPr>
        <w:spacing w:after="0" w:line="240" w:lineRule="auto"/>
        <w:rPr>
          <w:rFonts w:cstheme="minorHAnsi"/>
          <w:b/>
          <w:bCs/>
          <w:sz w:val="28"/>
          <w:szCs w:val="28"/>
        </w:rPr>
      </w:pPr>
      <w:r w:rsidRPr="008349AF">
        <w:rPr>
          <w:rFonts w:cstheme="minorHAnsi"/>
          <w:b/>
          <w:bCs/>
          <w:sz w:val="28"/>
          <w:szCs w:val="28"/>
        </w:rPr>
        <w:t>Structural Barriers to Sustained PPI</w:t>
      </w:r>
    </w:p>
    <w:p w14:paraId="6763617F"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Several contributors highlighted structural barriers to meaningful involvement, especially short-term funding and temporary contracts for PPI coordinators. When those responsible for building and maintaining relationships are employed on time-limited contracts, continuity is undermined and trust is difficult to sustain. This was seen as a significant contradiction in a system that values long-term trust but funds involvement work in short-term cycles.</w:t>
      </w:r>
    </w:p>
    <w:p w14:paraId="6AA039CC"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This led to broader reflection on precarity within research teams and how it affects not only staff but also public contributors, who may experience repeated disruption as projects and personnel change.</w:t>
      </w:r>
    </w:p>
    <w:p w14:paraId="1FD64032" w14:textId="77777777" w:rsidR="008349AF" w:rsidRPr="008349AF" w:rsidRDefault="00984526" w:rsidP="008349AF">
      <w:pPr>
        <w:spacing w:after="0" w:line="240" w:lineRule="auto"/>
        <w:rPr>
          <w:rFonts w:cstheme="minorHAnsi"/>
          <w:sz w:val="24"/>
          <w:szCs w:val="24"/>
        </w:rPr>
      </w:pPr>
      <w:r>
        <w:rPr>
          <w:rFonts w:cstheme="minorHAnsi"/>
          <w:sz w:val="24"/>
          <w:szCs w:val="24"/>
        </w:rPr>
        <w:pict w14:anchorId="19C62B1D">
          <v:rect id="_x0000_i1033" style="width:0;height:1.5pt" o:hralign="center" o:hrstd="t" o:hr="t" fillcolor="#a0a0a0" stroked="f"/>
        </w:pict>
      </w:r>
    </w:p>
    <w:p w14:paraId="79698604" w14:textId="77777777" w:rsidR="008349AF" w:rsidRPr="008349AF" w:rsidRDefault="008349AF" w:rsidP="008349AF">
      <w:pPr>
        <w:spacing w:after="0" w:line="240" w:lineRule="auto"/>
        <w:rPr>
          <w:rFonts w:cstheme="minorHAnsi"/>
          <w:b/>
          <w:bCs/>
          <w:sz w:val="28"/>
          <w:szCs w:val="28"/>
        </w:rPr>
      </w:pPr>
      <w:r w:rsidRPr="008349AF">
        <w:rPr>
          <w:rFonts w:cstheme="minorHAnsi"/>
          <w:b/>
          <w:bCs/>
          <w:sz w:val="28"/>
          <w:szCs w:val="28"/>
        </w:rPr>
        <w:t>Institutional Responsibility for PPI</w:t>
      </w:r>
    </w:p>
    <w:p w14:paraId="60474F12"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There was strong agreement that PPI should be treated as a core institutional function rather than an optional or project-specific add-on. Participants argued that universities and research organisations should support PPI infrastructure in the same way they support finance, human resources, or governance. This would signal that involvement is integral to research quality and ethics, rather than something dependent on individual champions or specific grants.</w:t>
      </w:r>
    </w:p>
    <w:p w14:paraId="2AB15D0D" w14:textId="77777777" w:rsidR="008349AF" w:rsidRPr="008349AF" w:rsidRDefault="00984526" w:rsidP="008349AF">
      <w:pPr>
        <w:spacing w:after="0" w:line="240" w:lineRule="auto"/>
        <w:rPr>
          <w:rFonts w:cstheme="minorHAnsi"/>
          <w:sz w:val="24"/>
          <w:szCs w:val="24"/>
        </w:rPr>
      </w:pPr>
      <w:r>
        <w:rPr>
          <w:rFonts w:cstheme="minorHAnsi"/>
          <w:sz w:val="24"/>
          <w:szCs w:val="24"/>
        </w:rPr>
        <w:lastRenderedPageBreak/>
        <w:pict w14:anchorId="6270C276">
          <v:rect id="_x0000_i1034" style="width:0;height:1.5pt" o:hralign="center" o:hrstd="t" o:hr="t" fillcolor="#a0a0a0" stroked="f"/>
        </w:pict>
      </w:r>
    </w:p>
    <w:p w14:paraId="714B8AB2" w14:textId="77777777" w:rsidR="008349AF" w:rsidRPr="003E57DC" w:rsidRDefault="008349AF" w:rsidP="008349AF">
      <w:pPr>
        <w:spacing w:after="0" w:line="240" w:lineRule="auto"/>
        <w:rPr>
          <w:rFonts w:cstheme="minorHAnsi"/>
          <w:b/>
          <w:bCs/>
          <w:sz w:val="28"/>
          <w:szCs w:val="28"/>
        </w:rPr>
      </w:pPr>
      <w:r w:rsidRPr="003E57DC">
        <w:rPr>
          <w:rFonts w:cstheme="minorHAnsi"/>
          <w:b/>
          <w:bCs/>
          <w:sz w:val="28"/>
          <w:szCs w:val="28"/>
        </w:rPr>
        <w:t>Exclusion, Inequality, and the Burden of Participation</w:t>
      </w:r>
    </w:p>
    <w:p w14:paraId="7A14B9BC"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Building on earlier contributions, the discussion returned repeatedly to issues of inequality and burden. References to work on burden of treatment and participation highlighted how research and healthcare can be unnecessarily disruptive to people’s lives, particularly those already managing illness, disability, or social disadvantage.</w:t>
      </w:r>
    </w:p>
    <w:p w14:paraId="082650DE"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Participants questioned what can reasonably be expected of contributors and how responsibility for reducing burden should be shared by researchers, institutions, and funders. This reinforced the idea that inclusion must be balanced with care and realism about people’s capacities and circumstances.</w:t>
      </w:r>
    </w:p>
    <w:p w14:paraId="40F919F5" w14:textId="77777777" w:rsidR="008349AF" w:rsidRPr="008349AF" w:rsidRDefault="00984526" w:rsidP="008349AF">
      <w:pPr>
        <w:spacing w:after="0" w:line="240" w:lineRule="auto"/>
        <w:rPr>
          <w:rFonts w:cstheme="minorHAnsi"/>
          <w:sz w:val="24"/>
          <w:szCs w:val="24"/>
        </w:rPr>
      </w:pPr>
      <w:r>
        <w:rPr>
          <w:rFonts w:cstheme="minorHAnsi"/>
          <w:sz w:val="24"/>
          <w:szCs w:val="24"/>
        </w:rPr>
        <w:pict w14:anchorId="1AE11B49">
          <v:rect id="_x0000_i1035" style="width:0;height:1.5pt" o:hralign="center" o:hrstd="t" o:hr="t" fillcolor="#a0a0a0" stroked="f"/>
        </w:pict>
      </w:r>
    </w:p>
    <w:p w14:paraId="2F65A685" w14:textId="77777777" w:rsidR="008349AF" w:rsidRPr="003E57DC" w:rsidRDefault="008349AF" w:rsidP="008349AF">
      <w:pPr>
        <w:spacing w:after="0" w:line="240" w:lineRule="auto"/>
        <w:rPr>
          <w:rFonts w:cstheme="minorHAnsi"/>
          <w:b/>
          <w:bCs/>
          <w:sz w:val="28"/>
          <w:szCs w:val="28"/>
        </w:rPr>
      </w:pPr>
      <w:r w:rsidRPr="003E57DC">
        <w:rPr>
          <w:rFonts w:cstheme="minorHAnsi"/>
          <w:b/>
          <w:bCs/>
          <w:sz w:val="28"/>
          <w:szCs w:val="28"/>
        </w:rPr>
        <w:t>Branding, Communication, and Power</w:t>
      </w:r>
    </w:p>
    <w:p w14:paraId="69B1FFF9"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A lively discussion emerged around mandatory branding requirements, particularly in NIHR-funded projects. Some participants expressed frustration that enforced corporate branding can stifle creativity and may not resonate with all communities. Others noted that branding and visual identity communicate meaning beyond the obvious and can either reinforce or challenge power dynamics.</w:t>
      </w:r>
    </w:p>
    <w:p w14:paraId="6CB5F47B"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The discussion highlighted tensions between funder requirements, institutional identity, and community engagement, suggesting the need for more reflexive thinking about communication practices.</w:t>
      </w:r>
    </w:p>
    <w:p w14:paraId="1B710AA5" w14:textId="77777777" w:rsidR="008349AF" w:rsidRPr="008349AF" w:rsidRDefault="00984526" w:rsidP="008349AF">
      <w:pPr>
        <w:spacing w:after="0" w:line="240" w:lineRule="auto"/>
        <w:rPr>
          <w:rFonts w:cstheme="minorHAnsi"/>
          <w:sz w:val="24"/>
          <w:szCs w:val="24"/>
        </w:rPr>
      </w:pPr>
      <w:r>
        <w:rPr>
          <w:rFonts w:cstheme="minorHAnsi"/>
          <w:sz w:val="24"/>
          <w:szCs w:val="24"/>
        </w:rPr>
        <w:pict w14:anchorId="48E08102">
          <v:rect id="_x0000_i1036" style="width:0;height:1.5pt" o:hralign="center" o:hrstd="t" o:hr="t" fillcolor="#a0a0a0" stroked="f"/>
        </w:pict>
      </w:r>
    </w:p>
    <w:p w14:paraId="5AB22E70" w14:textId="77777777" w:rsidR="008349AF" w:rsidRPr="003E57DC" w:rsidRDefault="008349AF" w:rsidP="008349AF">
      <w:pPr>
        <w:spacing w:after="0" w:line="240" w:lineRule="auto"/>
        <w:rPr>
          <w:rFonts w:cstheme="minorHAnsi"/>
          <w:b/>
          <w:bCs/>
          <w:sz w:val="28"/>
          <w:szCs w:val="28"/>
        </w:rPr>
      </w:pPr>
      <w:r w:rsidRPr="003E57DC">
        <w:rPr>
          <w:rFonts w:cstheme="minorHAnsi"/>
          <w:b/>
          <w:bCs/>
          <w:sz w:val="28"/>
          <w:szCs w:val="28"/>
        </w:rPr>
        <w:t>Signs of Progress and Ongoing Challenges</w:t>
      </w:r>
    </w:p>
    <w:p w14:paraId="00AC5802"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Despite critical reflections, participants also recognised signs of progress, particularly growing recognition of PPI in early translational research and biomedical research centres. However, there was consensus that substantial work remains to embed inclusive, trust-based practices across the research lifecycle.</w:t>
      </w:r>
    </w:p>
    <w:p w14:paraId="6EB8E59E" w14:textId="77777777" w:rsidR="008349AF" w:rsidRPr="008349AF" w:rsidRDefault="00984526" w:rsidP="008349AF">
      <w:pPr>
        <w:spacing w:after="0" w:line="240" w:lineRule="auto"/>
        <w:rPr>
          <w:rFonts w:cstheme="minorHAnsi"/>
          <w:sz w:val="24"/>
          <w:szCs w:val="24"/>
        </w:rPr>
      </w:pPr>
      <w:r>
        <w:rPr>
          <w:rFonts w:cstheme="minorHAnsi"/>
          <w:sz w:val="24"/>
          <w:szCs w:val="24"/>
        </w:rPr>
        <w:pict w14:anchorId="67C1FA1F">
          <v:rect id="_x0000_i1037" style="width:0;height:1.5pt" o:hralign="center" o:hrstd="t" o:hr="t" fillcolor="#a0a0a0" stroked="f"/>
        </w:pict>
      </w:r>
    </w:p>
    <w:p w14:paraId="464DD4A3" w14:textId="77777777" w:rsidR="008349AF" w:rsidRPr="003E57DC" w:rsidRDefault="008349AF" w:rsidP="008349AF">
      <w:pPr>
        <w:spacing w:after="0" w:line="240" w:lineRule="auto"/>
        <w:rPr>
          <w:rFonts w:cstheme="minorHAnsi"/>
          <w:b/>
          <w:bCs/>
          <w:sz w:val="28"/>
          <w:szCs w:val="28"/>
        </w:rPr>
      </w:pPr>
      <w:r w:rsidRPr="003E57DC">
        <w:rPr>
          <w:rFonts w:cstheme="minorHAnsi"/>
          <w:b/>
          <w:bCs/>
          <w:sz w:val="28"/>
          <w:szCs w:val="28"/>
        </w:rPr>
        <w:t>Conclusion</w:t>
      </w:r>
    </w:p>
    <w:p w14:paraId="32E3485C" w14:textId="77777777" w:rsidR="008349AF" w:rsidRPr="008349AF" w:rsidRDefault="008349AF" w:rsidP="008349AF">
      <w:pPr>
        <w:spacing w:after="0" w:line="240" w:lineRule="auto"/>
        <w:rPr>
          <w:rFonts w:cstheme="minorHAnsi"/>
          <w:sz w:val="24"/>
          <w:szCs w:val="24"/>
        </w:rPr>
      </w:pPr>
      <w:r w:rsidRPr="008349AF">
        <w:rPr>
          <w:rFonts w:cstheme="minorHAnsi"/>
          <w:sz w:val="24"/>
          <w:szCs w:val="24"/>
        </w:rPr>
        <w:t>Overall, the session underscored that trust, inclusion, and meaningful involvement are not achieved through isolated techniques or good intentions alone. They require sustained relational work, structural support, and critical attention to power, inequality, and institutional practice. The speakers’ contributions and subsequent discussion collectively highlighted the need to move beyond procedural approaches to PPI towards models that are relational, reflexive, and embedded within research systems themselves.</w:t>
      </w:r>
    </w:p>
    <w:p w14:paraId="10D6FB5E" w14:textId="77777777" w:rsidR="00D6483B" w:rsidRDefault="00D6483B" w:rsidP="00414A8E">
      <w:pPr>
        <w:spacing w:after="0" w:line="240" w:lineRule="auto"/>
        <w:rPr>
          <w:rFonts w:cstheme="minorHAnsi"/>
          <w:sz w:val="24"/>
          <w:szCs w:val="24"/>
        </w:rPr>
      </w:pPr>
    </w:p>
    <w:p w14:paraId="4159D56A" w14:textId="77777777" w:rsidR="00F04379" w:rsidRPr="003E57DC" w:rsidRDefault="00F04379" w:rsidP="00414A8E">
      <w:pPr>
        <w:spacing w:after="0" w:line="240" w:lineRule="auto"/>
        <w:rPr>
          <w:rFonts w:cstheme="minorHAnsi"/>
          <w:sz w:val="28"/>
          <w:szCs w:val="28"/>
        </w:rPr>
      </w:pPr>
    </w:p>
    <w:p w14:paraId="1D220DA0" w14:textId="39CB7F0D" w:rsidR="00F04379" w:rsidRPr="003E57DC" w:rsidRDefault="00F04379" w:rsidP="00414A8E">
      <w:pPr>
        <w:spacing w:after="0" w:line="240" w:lineRule="auto"/>
        <w:rPr>
          <w:rFonts w:cstheme="minorHAnsi"/>
          <w:b/>
          <w:bCs/>
          <w:sz w:val="28"/>
          <w:szCs w:val="28"/>
        </w:rPr>
      </w:pPr>
      <w:r w:rsidRPr="003E57DC">
        <w:rPr>
          <w:rFonts w:cstheme="minorHAnsi"/>
          <w:b/>
          <w:bCs/>
          <w:sz w:val="28"/>
          <w:szCs w:val="28"/>
        </w:rPr>
        <w:t xml:space="preserve">Papers and Resources </w:t>
      </w:r>
    </w:p>
    <w:p w14:paraId="334E4B4A" w14:textId="77777777" w:rsidR="00F04379" w:rsidRDefault="00F04379" w:rsidP="00414A8E">
      <w:pPr>
        <w:spacing w:after="0" w:line="240" w:lineRule="auto"/>
        <w:rPr>
          <w:rFonts w:cstheme="minorHAnsi"/>
          <w:b/>
          <w:bCs/>
          <w:sz w:val="24"/>
          <w:szCs w:val="24"/>
        </w:rPr>
      </w:pPr>
    </w:p>
    <w:p w14:paraId="3337E7B1" w14:textId="17646A51" w:rsidR="00F04379" w:rsidRPr="003E57DC" w:rsidRDefault="00F04379" w:rsidP="00414A8E">
      <w:pPr>
        <w:spacing w:after="0" w:line="240" w:lineRule="auto"/>
        <w:rPr>
          <w:rFonts w:cstheme="minorHAnsi"/>
          <w:sz w:val="24"/>
          <w:szCs w:val="24"/>
        </w:rPr>
      </w:pPr>
      <w:r w:rsidRPr="003E57DC">
        <w:rPr>
          <w:rFonts w:cstheme="minorHAnsi"/>
          <w:sz w:val="24"/>
          <w:szCs w:val="24"/>
        </w:rPr>
        <w:t xml:space="preserve">Dalgarno, L, Birt, L, Bond, C, Blacklock, J, Blyth, A, Inch, J, Notman, F, </w:t>
      </w:r>
      <w:proofErr w:type="spellStart"/>
      <w:r w:rsidRPr="003E57DC">
        <w:rPr>
          <w:rFonts w:cstheme="minorHAnsi"/>
          <w:sz w:val="24"/>
          <w:szCs w:val="24"/>
        </w:rPr>
        <w:t>Daffu</w:t>
      </w:r>
      <w:proofErr w:type="spellEnd"/>
      <w:r w:rsidRPr="003E57DC">
        <w:rPr>
          <w:rFonts w:cstheme="minorHAnsi"/>
          <w:sz w:val="24"/>
          <w:szCs w:val="24"/>
        </w:rPr>
        <w:t>-O’Reilly,</w:t>
      </w:r>
      <w:r w:rsidRPr="003E57DC">
        <w:rPr>
          <w:rFonts w:cstheme="minorHAnsi"/>
          <w:sz w:val="24"/>
          <w:szCs w:val="24"/>
        </w:rPr>
        <w:br/>
        <w:t xml:space="preserve">A, Spargo, M, Watts, L, Wright, D, &amp; Poland, F. (2023). Why the trial researcher matters: Day-to-day work viewed through the lens of normalization process theory. </w:t>
      </w:r>
      <w:r w:rsidRPr="003E57DC">
        <w:rPr>
          <w:rFonts w:cstheme="minorHAnsi"/>
          <w:i/>
          <w:iCs/>
          <w:sz w:val="24"/>
          <w:szCs w:val="24"/>
        </w:rPr>
        <w:t>SSM - Qualitative Research in Health</w:t>
      </w:r>
      <w:r w:rsidRPr="003E57DC">
        <w:rPr>
          <w:rFonts w:cstheme="minorHAnsi"/>
          <w:sz w:val="24"/>
          <w:szCs w:val="24"/>
        </w:rPr>
        <w:t xml:space="preserve">, </w:t>
      </w:r>
      <w:r w:rsidRPr="003E57DC">
        <w:rPr>
          <w:rFonts w:cstheme="minorHAnsi"/>
          <w:i/>
          <w:iCs/>
          <w:sz w:val="24"/>
          <w:szCs w:val="24"/>
        </w:rPr>
        <w:t>3</w:t>
      </w:r>
      <w:r w:rsidRPr="003E57DC">
        <w:rPr>
          <w:rFonts w:cstheme="minorHAnsi"/>
          <w:sz w:val="24"/>
          <w:szCs w:val="24"/>
        </w:rPr>
        <w:t xml:space="preserve">, [100254]. </w:t>
      </w:r>
      <w:hyperlink r:id="rId6" w:history="1">
        <w:r w:rsidRPr="003E57DC">
          <w:rPr>
            <w:rStyle w:val="Hyperlink"/>
            <w:rFonts w:cstheme="minorHAnsi"/>
            <w:sz w:val="24"/>
            <w:szCs w:val="24"/>
          </w:rPr>
          <w:t>https://doi.org/10.1016/j.ssmqr.2023.100254</w:t>
        </w:r>
      </w:hyperlink>
    </w:p>
    <w:p w14:paraId="1F4266A6" w14:textId="77777777" w:rsidR="00F04379" w:rsidRDefault="00F04379" w:rsidP="00414A8E">
      <w:pPr>
        <w:spacing w:after="0" w:line="240" w:lineRule="auto"/>
        <w:rPr>
          <w:rFonts w:cstheme="minorHAnsi"/>
          <w:b/>
          <w:bCs/>
          <w:sz w:val="24"/>
          <w:szCs w:val="24"/>
        </w:rPr>
      </w:pPr>
    </w:p>
    <w:bookmarkStart w:id="0" w:name="_Hlk227926649"/>
    <w:p w14:paraId="079BC4B4" w14:textId="77777777" w:rsidR="00F04379" w:rsidRDefault="00F04379" w:rsidP="00F04379">
      <w:pPr>
        <w:spacing w:after="0" w:line="240" w:lineRule="auto"/>
        <w:rPr>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"https://researchonline.lshtm.ac.uk/id/eprint/4676597/1/May-etal-2025-How-lived-experiences-of-illness.pdf"</w:instrText>
      </w:r>
      <w:r>
        <w:rPr>
          <w:rFonts w:ascii="Arial" w:hAnsi="Arial" w:cs="Arial"/>
          <w:sz w:val="20"/>
          <w:szCs w:val="20"/>
        </w:rPr>
      </w:r>
      <w:r>
        <w:rPr>
          <w:rFonts w:ascii="Arial" w:hAnsi="Arial" w:cs="Arial"/>
          <w:sz w:val="20"/>
          <w:szCs w:val="20"/>
        </w:rPr>
        <w:fldChar w:fldCharType="separate"/>
      </w:r>
      <w:r w:rsidRPr="00736C12">
        <w:rPr>
          <w:rStyle w:val="Hyperlink"/>
          <w:rFonts w:ascii="Arial" w:hAnsi="Arial" w:cs="Arial"/>
          <w:sz w:val="20"/>
          <w:szCs w:val="20"/>
        </w:rPr>
        <w:t xml:space="preserve">May, C. R., Gravenhorst, K. C., Hillis, A., Arber, M., Chew-Graham, C. A., Gallacher, K. I., Mair, F. S., Nolte, E., &amp; Richardson, A. (2025). How lived experiences of illness trajectories, burdens of treatment, and social inequalities shape service user and caregiver participation in health and social care: a </w:t>
      </w:r>
      <w:r w:rsidRPr="00736C12">
        <w:rPr>
          <w:rStyle w:val="Hyperlink"/>
          <w:rFonts w:ascii="Arial" w:hAnsi="Arial" w:cs="Arial"/>
          <w:sz w:val="20"/>
          <w:szCs w:val="20"/>
        </w:rPr>
        <w:lastRenderedPageBreak/>
        <w:t>theory-informed qualitative evidence synthesis. </w:t>
      </w:r>
      <w:r w:rsidRPr="00736C12">
        <w:rPr>
          <w:rStyle w:val="Hyperlink"/>
          <w:rFonts w:ascii="Arial" w:hAnsi="Arial" w:cs="Arial"/>
          <w:i/>
          <w:iCs/>
          <w:sz w:val="20"/>
          <w:szCs w:val="20"/>
        </w:rPr>
        <w:t>Health and Social Care Delivery Research</w:t>
      </w:r>
      <w:r w:rsidRPr="00736C12">
        <w:rPr>
          <w:rStyle w:val="Hyperlink"/>
          <w:rFonts w:ascii="Arial" w:hAnsi="Arial" w:cs="Arial"/>
          <w:sz w:val="20"/>
          <w:szCs w:val="20"/>
        </w:rPr>
        <w:t>, 13(24), 1–120. DOI: 10.3310/HGTQ8159</w:t>
      </w:r>
      <w:r>
        <w:rPr>
          <w:rFonts w:ascii="Arial" w:hAnsi="Arial" w:cs="Arial"/>
          <w:sz w:val="20"/>
          <w:szCs w:val="20"/>
        </w:rPr>
        <w:fldChar w:fldCharType="end"/>
      </w:r>
    </w:p>
    <w:p w14:paraId="7DD5E941" w14:textId="77777777" w:rsidR="00F04379" w:rsidRDefault="00F04379" w:rsidP="00F04379">
      <w:pPr>
        <w:spacing w:after="0" w:line="240" w:lineRule="auto"/>
        <w:rPr>
          <w:rFonts w:ascii="Arial" w:hAnsi="Arial" w:cs="Arial"/>
          <w:sz w:val="20"/>
          <w:szCs w:val="20"/>
        </w:rPr>
      </w:pPr>
    </w:p>
    <w:p w14:paraId="126267D7" w14:textId="77777777" w:rsidR="00F04379" w:rsidRDefault="00F04379" w:rsidP="00F04379">
      <w:pPr>
        <w:spacing w:after="0" w:line="240" w:lineRule="auto"/>
        <w:rPr>
          <w:rFonts w:ascii="Arial" w:hAnsi="Arial" w:cs="Arial"/>
          <w:sz w:val="20"/>
          <w:szCs w:val="20"/>
        </w:rPr>
      </w:pPr>
      <w:hyperlink r:id="rId7" w:history="1">
        <w:r w:rsidRPr="005134AB">
          <w:rPr>
            <w:rStyle w:val="Hyperlink"/>
            <w:rFonts w:ascii="Arial" w:hAnsi="Arial" w:cs="Arial"/>
            <w:sz w:val="20"/>
            <w:szCs w:val="20"/>
          </w:rPr>
          <w:t>May CR, Gravenhorst K, Pinder R, et al. EXPERTS II - How are patient and caregiver participation in health and social care shaped by experienced burden of treatment and social inequalities? Protocol for a qualitative synthesis. </w:t>
        </w:r>
        <w:r w:rsidRPr="005134AB">
          <w:rPr>
            <w:rStyle w:val="Hyperlink"/>
            <w:rFonts w:ascii="Arial" w:hAnsi="Arial" w:cs="Arial"/>
            <w:i/>
            <w:iCs/>
            <w:sz w:val="20"/>
            <w:szCs w:val="20"/>
          </w:rPr>
          <w:t>NIHR Open Res</w:t>
        </w:r>
        <w:r w:rsidRPr="005134AB">
          <w:rPr>
            <w:rStyle w:val="Hyperlink"/>
            <w:rFonts w:ascii="Arial" w:hAnsi="Arial" w:cs="Arial"/>
            <w:sz w:val="20"/>
            <w:szCs w:val="20"/>
          </w:rPr>
          <w:t xml:space="preserve">. </w:t>
        </w:r>
        <w:proofErr w:type="gramStart"/>
        <w:r w:rsidRPr="005134AB">
          <w:rPr>
            <w:rStyle w:val="Hyperlink"/>
            <w:rFonts w:ascii="Arial" w:hAnsi="Arial" w:cs="Arial"/>
            <w:sz w:val="20"/>
            <w:szCs w:val="20"/>
          </w:rPr>
          <w:t>2023;3:31</w:t>
        </w:r>
        <w:proofErr w:type="gramEnd"/>
        <w:r w:rsidRPr="005134AB">
          <w:rPr>
            <w:rStyle w:val="Hyperlink"/>
            <w:rFonts w:ascii="Arial" w:hAnsi="Arial" w:cs="Arial"/>
            <w:sz w:val="20"/>
            <w:szCs w:val="20"/>
          </w:rPr>
          <w:t>. DOI: 10.3310/nihropenres.13411.1.</w:t>
        </w:r>
      </w:hyperlink>
    </w:p>
    <w:p w14:paraId="64365515" w14:textId="77777777" w:rsidR="00F04379" w:rsidRDefault="00F04379" w:rsidP="00F04379">
      <w:pPr>
        <w:spacing w:after="0" w:line="240" w:lineRule="auto"/>
        <w:rPr>
          <w:rFonts w:ascii="Arial" w:hAnsi="Arial" w:cs="Arial"/>
          <w:sz w:val="20"/>
          <w:szCs w:val="20"/>
        </w:rPr>
      </w:pPr>
    </w:p>
    <w:p w14:paraId="136AE664" w14:textId="77777777" w:rsidR="00F04379" w:rsidRDefault="00F04379" w:rsidP="00F04379">
      <w:pPr>
        <w:spacing w:after="0" w:line="240" w:lineRule="auto"/>
        <w:rPr>
          <w:rFonts w:ascii="Arial" w:hAnsi="Arial" w:cs="Arial"/>
          <w:sz w:val="20"/>
          <w:szCs w:val="20"/>
        </w:rPr>
      </w:pPr>
    </w:p>
    <w:p w14:paraId="0715430D" w14:textId="77777777" w:rsidR="00F04379" w:rsidRDefault="00F04379" w:rsidP="00F04379">
      <w:pPr>
        <w:spacing w:after="0" w:line="240" w:lineRule="auto"/>
        <w:rPr>
          <w:rFonts w:ascii="Arial" w:hAnsi="Arial" w:cs="Arial"/>
          <w:sz w:val="20"/>
          <w:szCs w:val="20"/>
        </w:rPr>
      </w:pPr>
      <w:hyperlink r:id="rId8" w:history="1">
        <w:r w:rsidRPr="00736C12">
          <w:rPr>
            <w:rStyle w:val="Hyperlink"/>
            <w:rFonts w:ascii="Arial" w:hAnsi="Arial" w:cs="Arial"/>
            <w:sz w:val="20"/>
            <w:szCs w:val="20"/>
          </w:rPr>
          <w:t>May, C., Mair, F., Finch, T., et al. (2009). Development of a theory of implementation and integration: Normalization Process Theory. </w:t>
        </w:r>
        <w:r w:rsidRPr="00736C12">
          <w:rPr>
            <w:rStyle w:val="Hyperlink"/>
            <w:rFonts w:ascii="Arial" w:hAnsi="Arial" w:cs="Arial"/>
            <w:i/>
            <w:iCs/>
            <w:sz w:val="20"/>
            <w:szCs w:val="20"/>
          </w:rPr>
          <w:t>[Note: While this covers the mechanism, the specific "burden of treatment" work is frequently cited as May, C., Montori, V., &amp; Mair, F. (2009). We need minimally disruptive medicine. BMJ, 339, b2803 or related 2014/2016 work with F. Mair and K. Gallacher]</w:t>
        </w:r>
      </w:hyperlink>
    </w:p>
    <w:p w14:paraId="55BA1074" w14:textId="77777777" w:rsidR="00F04379" w:rsidRDefault="00F04379" w:rsidP="00F04379">
      <w:pPr>
        <w:spacing w:after="0" w:line="240" w:lineRule="auto"/>
        <w:rPr>
          <w:rFonts w:ascii="Arial" w:hAnsi="Arial" w:cs="Arial"/>
          <w:sz w:val="20"/>
          <w:szCs w:val="20"/>
        </w:rPr>
      </w:pPr>
    </w:p>
    <w:p w14:paraId="5E161DF6" w14:textId="77777777" w:rsidR="00F04379" w:rsidRDefault="00F04379" w:rsidP="00F04379">
      <w:pPr>
        <w:spacing w:after="0" w:line="240" w:lineRule="auto"/>
        <w:rPr>
          <w:rFonts w:ascii="Arial" w:hAnsi="Arial" w:cs="Arial"/>
          <w:sz w:val="20"/>
          <w:szCs w:val="20"/>
        </w:rPr>
      </w:pPr>
      <w:hyperlink r:id="rId9" w:history="1">
        <w:r w:rsidRPr="0093746F">
          <w:rPr>
            <w:rStyle w:val="Hyperlink"/>
            <w:rFonts w:ascii="Arial" w:hAnsi="Arial" w:cs="Arial"/>
            <w:sz w:val="20"/>
            <w:szCs w:val="20"/>
          </w:rPr>
          <w:t>Smyth, R. C., Smith, G., Alexander, E., May, C. R., Mair, F. S., &amp; Gallacher, K. I. (2025). A systematic review of the use of burden of treatment theory. </w:t>
        </w:r>
        <w:r w:rsidRPr="0093746F">
          <w:rPr>
            <w:rStyle w:val="Hyperlink"/>
            <w:rFonts w:ascii="Arial" w:hAnsi="Arial" w:cs="Arial"/>
            <w:i/>
            <w:iCs/>
            <w:sz w:val="20"/>
            <w:szCs w:val="20"/>
          </w:rPr>
          <w:t>Journal of Multimorbidity and Comorbidity</w:t>
        </w:r>
        <w:r w:rsidRPr="0093746F">
          <w:rPr>
            <w:rStyle w:val="Hyperlink"/>
            <w:rFonts w:ascii="Arial" w:hAnsi="Arial" w:cs="Arial"/>
            <w:sz w:val="20"/>
            <w:szCs w:val="20"/>
          </w:rPr>
          <w:t>, 15, 26335565251314828. https://doi.org/10.1177/26335565251314828 </w:t>
        </w:r>
      </w:hyperlink>
    </w:p>
    <w:p w14:paraId="11884ED2" w14:textId="77777777" w:rsidR="00F04379" w:rsidRDefault="00F04379" w:rsidP="00F04379">
      <w:pPr>
        <w:spacing w:after="0" w:line="240" w:lineRule="auto"/>
        <w:rPr>
          <w:rFonts w:ascii="Arial" w:hAnsi="Arial" w:cs="Arial"/>
          <w:sz w:val="20"/>
          <w:szCs w:val="20"/>
        </w:rPr>
      </w:pPr>
    </w:p>
    <w:p w14:paraId="354489B5" w14:textId="77777777" w:rsidR="00F04379" w:rsidRDefault="00F04379" w:rsidP="00F04379">
      <w:pPr>
        <w:spacing w:after="0" w:line="240" w:lineRule="auto"/>
        <w:rPr>
          <w:rFonts w:ascii="Arial" w:hAnsi="Arial" w:cs="Arial"/>
          <w:sz w:val="20"/>
          <w:szCs w:val="20"/>
        </w:rPr>
      </w:pPr>
      <w:r>
        <w:rPr>
          <w:rFonts w:ascii="Arial" w:hAnsi="Arial" w:cs="Arial"/>
          <w:sz w:val="20"/>
          <w:szCs w:val="20"/>
        </w:rPr>
        <w:object w:dxaOrig="1508" w:dyaOrig="983" w14:anchorId="4AD17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6pt;height:49pt" o:ole="">
            <v:imagedata r:id="rId10" o:title=""/>
          </v:shape>
          <o:OLEObject Type="Embed" ProgID="Acrobat.Document.DC" ShapeID="_x0000_i1038" DrawAspect="Icon" ObjectID="_1840008129" r:id="rId11"/>
        </w:object>
      </w:r>
    </w:p>
    <w:p w14:paraId="2163C02B" w14:textId="77777777" w:rsidR="00F04379" w:rsidRDefault="00F04379" w:rsidP="00F04379">
      <w:pPr>
        <w:spacing w:after="0" w:line="240" w:lineRule="auto"/>
        <w:rPr>
          <w:rFonts w:ascii="Arial" w:hAnsi="Arial" w:cs="Arial"/>
          <w:sz w:val="20"/>
          <w:szCs w:val="20"/>
        </w:rPr>
      </w:pPr>
    </w:p>
    <w:p w14:paraId="7F81487E" w14:textId="5F52146F" w:rsidR="00F04379" w:rsidRPr="003E57DC" w:rsidRDefault="00F04379" w:rsidP="00414A8E">
      <w:pPr>
        <w:spacing w:after="0" w:line="240" w:lineRule="auto"/>
        <w:rPr>
          <w:rFonts w:ascii="Arial" w:hAnsi="Arial" w:cs="Arial"/>
          <w:sz w:val="20"/>
          <w:szCs w:val="20"/>
        </w:rPr>
      </w:pPr>
      <w:r>
        <w:rPr>
          <w:rFonts w:ascii="Arial" w:hAnsi="Arial" w:cs="Arial"/>
          <w:sz w:val="20"/>
          <w:szCs w:val="20"/>
        </w:rPr>
        <w:object w:dxaOrig="1508" w:dyaOrig="983" w14:anchorId="6017AEDA">
          <v:shape id="_x0000_i1039" type="#_x0000_t75" style="width:76pt;height:49pt" o:ole="">
            <v:imagedata r:id="rId12" o:title=""/>
          </v:shape>
          <o:OLEObject Type="Embed" ProgID="Acrobat.Document.DC" ShapeID="_x0000_i1039" DrawAspect="Icon" ObjectID="_1840008130" r:id="rId13"/>
        </w:object>
      </w:r>
      <w:bookmarkEnd w:id="0"/>
    </w:p>
    <w:sectPr w:rsidR="00F04379" w:rsidRPr="003E57D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48A9" w14:textId="77777777" w:rsidR="005A2279" w:rsidRDefault="005A2279" w:rsidP="00836DA6">
      <w:pPr>
        <w:spacing w:after="0" w:line="240" w:lineRule="auto"/>
      </w:pPr>
      <w:r>
        <w:separator/>
      </w:r>
    </w:p>
  </w:endnote>
  <w:endnote w:type="continuationSeparator" w:id="0">
    <w:p w14:paraId="643BFB04" w14:textId="77777777" w:rsidR="005A2279" w:rsidRDefault="005A2279" w:rsidP="0083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188327"/>
      <w:docPartObj>
        <w:docPartGallery w:val="Page Numbers (Bottom of Page)"/>
        <w:docPartUnique/>
      </w:docPartObj>
    </w:sdtPr>
    <w:sdtEndPr/>
    <w:sdtContent>
      <w:sdt>
        <w:sdtPr>
          <w:id w:val="1728636285"/>
          <w:docPartObj>
            <w:docPartGallery w:val="Page Numbers (Top of Page)"/>
            <w:docPartUnique/>
          </w:docPartObj>
        </w:sdtPr>
        <w:sdtEndPr/>
        <w:sdtContent>
          <w:p w14:paraId="75E9255F" w14:textId="4F0EEEBF" w:rsidR="00836DA6" w:rsidRDefault="00836DA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20C5630" w14:textId="77777777" w:rsidR="00836DA6" w:rsidRDefault="00836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BF40" w14:textId="77777777" w:rsidR="005A2279" w:rsidRDefault="005A2279" w:rsidP="00836DA6">
      <w:pPr>
        <w:spacing w:after="0" w:line="240" w:lineRule="auto"/>
      </w:pPr>
      <w:r>
        <w:separator/>
      </w:r>
    </w:p>
  </w:footnote>
  <w:footnote w:type="continuationSeparator" w:id="0">
    <w:p w14:paraId="2C83E7A4" w14:textId="77777777" w:rsidR="005A2279" w:rsidRDefault="005A2279" w:rsidP="00836D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AF"/>
    <w:rsid w:val="001D4DEA"/>
    <w:rsid w:val="00261EE7"/>
    <w:rsid w:val="003E57DC"/>
    <w:rsid w:val="00414A8E"/>
    <w:rsid w:val="0046278B"/>
    <w:rsid w:val="00583C0B"/>
    <w:rsid w:val="005847B3"/>
    <w:rsid w:val="005A2279"/>
    <w:rsid w:val="007004D8"/>
    <w:rsid w:val="008349AF"/>
    <w:rsid w:val="00836DA6"/>
    <w:rsid w:val="00984526"/>
    <w:rsid w:val="009A6128"/>
    <w:rsid w:val="00A83609"/>
    <w:rsid w:val="00BC25E0"/>
    <w:rsid w:val="00BD7669"/>
    <w:rsid w:val="00C910E0"/>
    <w:rsid w:val="00D6483B"/>
    <w:rsid w:val="00F04379"/>
    <w:rsid w:val="00F307F8"/>
    <w:rsid w:val="00FF7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67745A62"/>
  <w15:chartTrackingRefBased/>
  <w15:docId w15:val="{608E9035-1CE5-4B89-908E-3F77958B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9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49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49A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49A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49A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4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9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49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49A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49A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49A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4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9AF"/>
    <w:rPr>
      <w:rFonts w:eastAsiaTheme="majorEastAsia" w:cstheme="majorBidi"/>
      <w:color w:val="272727" w:themeColor="text1" w:themeTint="D8"/>
    </w:rPr>
  </w:style>
  <w:style w:type="paragraph" w:styleId="Title">
    <w:name w:val="Title"/>
    <w:basedOn w:val="Normal"/>
    <w:next w:val="Normal"/>
    <w:link w:val="TitleChar"/>
    <w:uiPriority w:val="10"/>
    <w:qFormat/>
    <w:rsid w:val="00834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9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9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49AF"/>
    <w:rPr>
      <w:i/>
      <w:iCs/>
      <w:color w:val="404040" w:themeColor="text1" w:themeTint="BF"/>
    </w:rPr>
  </w:style>
  <w:style w:type="paragraph" w:styleId="ListParagraph">
    <w:name w:val="List Paragraph"/>
    <w:basedOn w:val="Normal"/>
    <w:uiPriority w:val="34"/>
    <w:qFormat/>
    <w:rsid w:val="008349AF"/>
    <w:pPr>
      <w:ind w:left="720"/>
      <w:contextualSpacing/>
    </w:pPr>
  </w:style>
  <w:style w:type="character" w:styleId="IntenseEmphasis">
    <w:name w:val="Intense Emphasis"/>
    <w:basedOn w:val="DefaultParagraphFont"/>
    <w:uiPriority w:val="21"/>
    <w:qFormat/>
    <w:rsid w:val="008349AF"/>
    <w:rPr>
      <w:i/>
      <w:iCs/>
      <w:color w:val="365F91" w:themeColor="accent1" w:themeShade="BF"/>
    </w:rPr>
  </w:style>
  <w:style w:type="paragraph" w:styleId="IntenseQuote">
    <w:name w:val="Intense Quote"/>
    <w:basedOn w:val="Normal"/>
    <w:next w:val="Normal"/>
    <w:link w:val="IntenseQuoteChar"/>
    <w:uiPriority w:val="30"/>
    <w:qFormat/>
    <w:rsid w:val="008349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49AF"/>
    <w:rPr>
      <w:i/>
      <w:iCs/>
      <w:color w:val="365F91" w:themeColor="accent1" w:themeShade="BF"/>
    </w:rPr>
  </w:style>
  <w:style w:type="character" w:styleId="IntenseReference">
    <w:name w:val="Intense Reference"/>
    <w:basedOn w:val="DefaultParagraphFont"/>
    <w:uiPriority w:val="32"/>
    <w:qFormat/>
    <w:rsid w:val="008349AF"/>
    <w:rPr>
      <w:b/>
      <w:bCs/>
      <w:smallCaps/>
      <w:color w:val="365F91" w:themeColor="accent1" w:themeShade="BF"/>
      <w:spacing w:val="5"/>
    </w:rPr>
  </w:style>
  <w:style w:type="paragraph" w:styleId="Revision">
    <w:name w:val="Revision"/>
    <w:hidden/>
    <w:uiPriority w:val="99"/>
    <w:semiHidden/>
    <w:rsid w:val="00C910E0"/>
    <w:pPr>
      <w:spacing w:after="0" w:line="240" w:lineRule="auto"/>
    </w:pPr>
  </w:style>
  <w:style w:type="character" w:styleId="Hyperlink">
    <w:name w:val="Hyperlink"/>
    <w:basedOn w:val="DefaultParagraphFont"/>
    <w:uiPriority w:val="99"/>
    <w:unhideWhenUsed/>
    <w:rsid w:val="00F04379"/>
    <w:rPr>
      <w:color w:val="0000FF" w:themeColor="hyperlink"/>
      <w:u w:val="single"/>
    </w:rPr>
  </w:style>
  <w:style w:type="character" w:styleId="UnresolvedMention">
    <w:name w:val="Unresolved Mention"/>
    <w:basedOn w:val="DefaultParagraphFont"/>
    <w:uiPriority w:val="99"/>
    <w:semiHidden/>
    <w:unhideWhenUsed/>
    <w:rsid w:val="00F04379"/>
    <w:rPr>
      <w:color w:val="605E5C"/>
      <w:shd w:val="clear" w:color="auto" w:fill="E1DFDD"/>
    </w:rPr>
  </w:style>
  <w:style w:type="paragraph" w:styleId="Header">
    <w:name w:val="header"/>
    <w:basedOn w:val="Normal"/>
    <w:link w:val="HeaderChar"/>
    <w:uiPriority w:val="99"/>
    <w:unhideWhenUsed/>
    <w:rsid w:val="00836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DA6"/>
  </w:style>
  <w:style w:type="paragraph" w:styleId="Footer">
    <w:name w:val="footer"/>
    <w:basedOn w:val="Normal"/>
    <w:link w:val="FooterChar"/>
    <w:uiPriority w:val="99"/>
    <w:unhideWhenUsed/>
    <w:rsid w:val="00836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DA6"/>
  </w:style>
  <w:style w:type="character" w:styleId="CommentReference">
    <w:name w:val="annotation reference"/>
    <w:basedOn w:val="DefaultParagraphFont"/>
    <w:uiPriority w:val="99"/>
    <w:semiHidden/>
    <w:unhideWhenUsed/>
    <w:rsid w:val="00261EE7"/>
    <w:rPr>
      <w:sz w:val="16"/>
      <w:szCs w:val="16"/>
    </w:rPr>
  </w:style>
  <w:style w:type="paragraph" w:styleId="CommentText">
    <w:name w:val="annotation text"/>
    <w:basedOn w:val="Normal"/>
    <w:link w:val="CommentTextChar"/>
    <w:uiPriority w:val="99"/>
    <w:unhideWhenUsed/>
    <w:rsid w:val="00261EE7"/>
    <w:pPr>
      <w:spacing w:line="240" w:lineRule="auto"/>
    </w:pPr>
    <w:rPr>
      <w:sz w:val="20"/>
      <w:szCs w:val="20"/>
    </w:rPr>
  </w:style>
  <w:style w:type="character" w:customStyle="1" w:styleId="CommentTextChar">
    <w:name w:val="Comment Text Char"/>
    <w:basedOn w:val="DefaultParagraphFont"/>
    <w:link w:val="CommentText"/>
    <w:uiPriority w:val="99"/>
    <w:rsid w:val="00261EE7"/>
    <w:rPr>
      <w:sz w:val="20"/>
      <w:szCs w:val="20"/>
    </w:rPr>
  </w:style>
  <w:style w:type="paragraph" w:styleId="CommentSubject">
    <w:name w:val="annotation subject"/>
    <w:basedOn w:val="CommentText"/>
    <w:next w:val="CommentText"/>
    <w:link w:val="CommentSubjectChar"/>
    <w:uiPriority w:val="99"/>
    <w:semiHidden/>
    <w:unhideWhenUsed/>
    <w:rsid w:val="00261EE7"/>
    <w:rPr>
      <w:b/>
      <w:bCs/>
    </w:rPr>
  </w:style>
  <w:style w:type="character" w:customStyle="1" w:styleId="CommentSubjectChar">
    <w:name w:val="Comment Subject Char"/>
    <w:basedOn w:val="CommentTextChar"/>
    <w:link w:val="CommentSubject"/>
    <w:uiPriority w:val="99"/>
    <w:semiHidden/>
    <w:rsid w:val="00261E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675">
      <w:bodyDiv w:val="1"/>
      <w:marLeft w:val="0"/>
      <w:marRight w:val="0"/>
      <w:marTop w:val="0"/>
      <w:marBottom w:val="0"/>
      <w:divBdr>
        <w:top w:val="none" w:sz="0" w:space="0" w:color="auto"/>
        <w:left w:val="none" w:sz="0" w:space="0" w:color="auto"/>
        <w:bottom w:val="none" w:sz="0" w:space="0" w:color="auto"/>
        <w:right w:val="none" w:sz="0" w:space="0" w:color="auto"/>
      </w:divBdr>
      <w:divsChild>
        <w:div w:id="257758683">
          <w:marLeft w:val="0"/>
          <w:marRight w:val="0"/>
          <w:marTop w:val="0"/>
          <w:marBottom w:val="0"/>
          <w:divBdr>
            <w:top w:val="none" w:sz="0" w:space="0" w:color="auto"/>
            <w:left w:val="none" w:sz="0" w:space="0" w:color="auto"/>
            <w:bottom w:val="none" w:sz="0" w:space="0" w:color="auto"/>
            <w:right w:val="none" w:sz="0" w:space="0" w:color="auto"/>
          </w:divBdr>
        </w:div>
      </w:divsChild>
    </w:div>
    <w:div w:id="32193692">
      <w:bodyDiv w:val="1"/>
      <w:marLeft w:val="0"/>
      <w:marRight w:val="0"/>
      <w:marTop w:val="0"/>
      <w:marBottom w:val="0"/>
      <w:divBdr>
        <w:top w:val="none" w:sz="0" w:space="0" w:color="auto"/>
        <w:left w:val="none" w:sz="0" w:space="0" w:color="auto"/>
        <w:bottom w:val="none" w:sz="0" w:space="0" w:color="auto"/>
        <w:right w:val="none" w:sz="0" w:space="0" w:color="auto"/>
      </w:divBdr>
    </w:div>
    <w:div w:id="955715876">
      <w:bodyDiv w:val="1"/>
      <w:marLeft w:val="0"/>
      <w:marRight w:val="0"/>
      <w:marTop w:val="0"/>
      <w:marBottom w:val="0"/>
      <w:divBdr>
        <w:top w:val="none" w:sz="0" w:space="0" w:color="auto"/>
        <w:left w:val="none" w:sz="0" w:space="0" w:color="auto"/>
        <w:bottom w:val="none" w:sz="0" w:space="0" w:color="auto"/>
        <w:right w:val="none" w:sz="0" w:space="0" w:color="auto"/>
      </w:divBdr>
    </w:div>
    <w:div w:id="1247691125">
      <w:bodyDiv w:val="1"/>
      <w:marLeft w:val="0"/>
      <w:marRight w:val="0"/>
      <w:marTop w:val="0"/>
      <w:marBottom w:val="0"/>
      <w:divBdr>
        <w:top w:val="none" w:sz="0" w:space="0" w:color="auto"/>
        <w:left w:val="none" w:sz="0" w:space="0" w:color="auto"/>
        <w:bottom w:val="none" w:sz="0" w:space="0" w:color="auto"/>
        <w:right w:val="none" w:sz="0" w:space="0" w:color="auto"/>
      </w:divBdr>
    </w:div>
    <w:div w:id="1249731342">
      <w:bodyDiv w:val="1"/>
      <w:marLeft w:val="0"/>
      <w:marRight w:val="0"/>
      <w:marTop w:val="0"/>
      <w:marBottom w:val="0"/>
      <w:divBdr>
        <w:top w:val="none" w:sz="0" w:space="0" w:color="auto"/>
        <w:left w:val="none" w:sz="0" w:space="0" w:color="auto"/>
        <w:bottom w:val="none" w:sz="0" w:space="0" w:color="auto"/>
        <w:right w:val="none" w:sz="0" w:space="0" w:color="auto"/>
      </w:divBdr>
    </w:div>
    <w:div w:id="1375695566">
      <w:bodyDiv w:val="1"/>
      <w:marLeft w:val="0"/>
      <w:marRight w:val="0"/>
      <w:marTop w:val="0"/>
      <w:marBottom w:val="0"/>
      <w:divBdr>
        <w:top w:val="none" w:sz="0" w:space="0" w:color="auto"/>
        <w:left w:val="none" w:sz="0" w:space="0" w:color="auto"/>
        <w:bottom w:val="none" w:sz="0" w:space="0" w:color="auto"/>
        <w:right w:val="none" w:sz="0" w:space="0" w:color="auto"/>
      </w:divBdr>
    </w:div>
    <w:div w:id="1397318008">
      <w:bodyDiv w:val="1"/>
      <w:marLeft w:val="0"/>
      <w:marRight w:val="0"/>
      <w:marTop w:val="0"/>
      <w:marBottom w:val="0"/>
      <w:divBdr>
        <w:top w:val="none" w:sz="0" w:space="0" w:color="auto"/>
        <w:left w:val="none" w:sz="0" w:space="0" w:color="auto"/>
        <w:bottom w:val="none" w:sz="0" w:space="0" w:color="auto"/>
        <w:right w:val="none" w:sz="0" w:space="0" w:color="auto"/>
      </w:divBdr>
    </w:div>
    <w:div w:id="1829898104">
      <w:bodyDiv w:val="1"/>
      <w:marLeft w:val="0"/>
      <w:marRight w:val="0"/>
      <w:marTop w:val="0"/>
      <w:marBottom w:val="0"/>
      <w:divBdr>
        <w:top w:val="none" w:sz="0" w:space="0" w:color="auto"/>
        <w:left w:val="none" w:sz="0" w:space="0" w:color="auto"/>
        <w:bottom w:val="none" w:sz="0" w:space="0" w:color="auto"/>
        <w:right w:val="none" w:sz="0" w:space="0" w:color="auto"/>
      </w:divBdr>
      <w:divsChild>
        <w:div w:id="17094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mpton.ac.uk/assets/centresresearch/documents/wphs/CRM%20the%20Burden%20of%20Treatmen.pdf" TargetMode="External"/><Relationship Id="rId13"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hyperlink" Target="https://pmc.ncbi.nlm.nih.gov/articles/PMC10593344/" TargetMode="External"/><Relationship Id="rId12" Type="http://schemas.openxmlformats.org/officeDocument/2006/relationships/image" Target="media/image2.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16/j.ssmqr.2023.100254" TargetMode="External"/><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hyperlink" Target="https://essexuniversity-my.sharepoint.com/personal/sb19262_essex_ac_uk/Documents/Documents/Inclusive%20Involvement%20Theme/Trust/Smyth,%20R.%20C.,%20Smith,%20G.,%20Alexander,%20E.,%20May,%20C.%20R.,%20Mair,%20F.%20S.,%20&amp;%20Gallacher,%20K.%20I.%20(2025).%20A%20systematic%20review%20of%20the%20use%20of%20burden%20of%20treatment%20theory.&#160;Journal%20of%20Multimorbidity%20and%20Comorbidity,%2015,%2026335565251314828.%20https:/doi.org/10.1177/26335565251314828&#16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e6beba-c4aa-4731-af5d-d735b097eadb}" enabled="0" method="" siteId="{93e6beba-c4aa-4731-af5d-d735b097eadb}"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2078</Words>
  <Characters>11848</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Burrows, Sally</dc:creator>
  <cp:keywords/>
  <dc:description/>
  <cp:lastModifiedBy>Burrows, Sally</cp:lastModifiedBy>
  <cp:revision>2</cp:revision>
  <dcterms:created xsi:type="dcterms:W3CDTF">2026-05-11T11:36:00Z</dcterms:created>
  <dcterms:modified xsi:type="dcterms:W3CDTF">2026-05-11T11:36:00Z</dcterms:modified>
</cp:coreProperties>
</file>