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F6681" w14:textId="7F84BCE4" w:rsidR="00FB485B" w:rsidRDefault="00470A16">
      <w:r w:rsidRPr="00284720">
        <w:rPr>
          <w:b/>
          <w:bCs/>
          <w:u w:val="single"/>
        </w:rPr>
        <w:t>Universal Design in Research: Can Disabled People Access Your Research</w:t>
      </w:r>
      <w:r>
        <w:t xml:space="preserve">? </w:t>
      </w:r>
    </w:p>
    <w:p w14:paraId="56B21BAB" w14:textId="110B4E68" w:rsidR="003135E1" w:rsidRDefault="00A94B74" w:rsidP="003135E1">
      <w:r w:rsidRPr="00594231">
        <w:rPr>
          <w:i/>
          <w:iCs/>
        </w:rPr>
        <w:t>Introduced by Katherine Deane</w:t>
      </w:r>
      <w:r>
        <w:t xml:space="preserve"> </w:t>
      </w:r>
      <w:r w:rsidR="003135E1">
        <w:t>(</w:t>
      </w:r>
      <w:hyperlink r:id="rId7" w:history="1">
        <w:r w:rsidR="003135E1" w:rsidRPr="00CD7BFF">
          <w:rPr>
            <w:rStyle w:val="Hyperlink"/>
          </w:rPr>
          <w:t>K.Deane@uea.ac.uk</w:t>
        </w:r>
      </w:hyperlink>
      <w:r w:rsidR="003135E1">
        <w:t>)</w:t>
      </w:r>
    </w:p>
    <w:p w14:paraId="79CBB223" w14:textId="7E030959" w:rsidR="00454FD9" w:rsidRDefault="00AA0A43" w:rsidP="003135E1">
      <w:r>
        <w:t>“</w:t>
      </w:r>
      <w:r w:rsidRPr="00926CAA">
        <w:rPr>
          <w:i/>
          <w:iCs/>
        </w:rPr>
        <w:t>Ableism”</w:t>
      </w:r>
      <w:r w:rsidR="00454FD9" w:rsidRPr="00926CAA">
        <w:rPr>
          <w:i/>
          <w:iCs/>
        </w:rPr>
        <w:t xml:space="preserve"> is one of </w:t>
      </w:r>
      <w:r w:rsidRPr="00926CAA">
        <w:rPr>
          <w:i/>
          <w:iCs/>
        </w:rPr>
        <w:t xml:space="preserve">the most common </w:t>
      </w:r>
      <w:r w:rsidR="00926CAA" w:rsidRPr="00926CAA">
        <w:rPr>
          <w:i/>
          <w:iCs/>
        </w:rPr>
        <w:t>biases that is socially acceptable</w:t>
      </w:r>
      <w:r w:rsidR="00926CAA">
        <w:t xml:space="preserve">. </w:t>
      </w:r>
    </w:p>
    <w:p w14:paraId="026EE71F" w14:textId="0B88F14E" w:rsidR="009E3154" w:rsidRDefault="009E5A34" w:rsidP="00453971">
      <w:pPr>
        <w:pStyle w:val="ListParagraph"/>
        <w:numPr>
          <w:ilvl w:val="0"/>
          <w:numId w:val="2"/>
        </w:numPr>
      </w:pPr>
      <w:r>
        <w:t xml:space="preserve">Disability is </w:t>
      </w:r>
      <w:r w:rsidR="007D5C5D">
        <w:t xml:space="preserve">very </w:t>
      </w:r>
      <w:r>
        <w:t>diverse</w:t>
      </w:r>
      <w:r w:rsidR="00EF5F33">
        <w:t xml:space="preserve"> (mobility, vision, hearing, energy, cognition, mental wellbeing) and includes </w:t>
      </w:r>
      <w:r w:rsidR="00020DD7">
        <w:t xml:space="preserve">pain, </w:t>
      </w:r>
      <w:proofErr w:type="gramStart"/>
      <w:r w:rsidR="00020DD7">
        <w:t>fatigue</w:t>
      </w:r>
      <w:proofErr w:type="gramEnd"/>
      <w:r w:rsidR="00020DD7">
        <w:t xml:space="preserve"> and brain fog. </w:t>
      </w:r>
      <w:r w:rsidR="002504ED">
        <w:t xml:space="preserve"> </w:t>
      </w:r>
      <w:r w:rsidR="00CC0989">
        <w:t xml:space="preserve">All affect ability to take part in research. </w:t>
      </w:r>
    </w:p>
    <w:p w14:paraId="5ECF1A62" w14:textId="0E8A1791" w:rsidR="00453971" w:rsidRDefault="00453971" w:rsidP="00453971">
      <w:pPr>
        <w:pStyle w:val="ListParagraph"/>
        <w:numPr>
          <w:ilvl w:val="0"/>
          <w:numId w:val="2"/>
        </w:numPr>
      </w:pPr>
      <w:r>
        <w:t>Just World Theory: “if I am disabled</w:t>
      </w:r>
      <w:r w:rsidR="004A5E62">
        <w:t>,</w:t>
      </w:r>
      <w:r>
        <w:t xml:space="preserve"> I did something wrong”. </w:t>
      </w:r>
    </w:p>
    <w:p w14:paraId="1EE563CC" w14:textId="0EF6B71A" w:rsidR="00CC0989" w:rsidRDefault="002504ED" w:rsidP="00453971">
      <w:pPr>
        <w:pStyle w:val="ListParagraph"/>
        <w:numPr>
          <w:ilvl w:val="0"/>
          <w:numId w:val="2"/>
        </w:numPr>
      </w:pPr>
      <w:r>
        <w:t xml:space="preserve">Disability is often seen as </w:t>
      </w:r>
      <w:r w:rsidR="00CC0989">
        <w:t xml:space="preserve">negative - </w:t>
      </w:r>
      <w:r>
        <w:t xml:space="preserve">‘broken, charity case, inspirational or fraud’. </w:t>
      </w:r>
      <w:r w:rsidR="00A31A27">
        <w:t xml:space="preserve"> </w:t>
      </w:r>
    </w:p>
    <w:p w14:paraId="46EED98A" w14:textId="4D213AFE" w:rsidR="00062518" w:rsidRDefault="00A31A27" w:rsidP="00062518">
      <w:pPr>
        <w:pStyle w:val="ListParagraph"/>
        <w:numPr>
          <w:ilvl w:val="0"/>
          <w:numId w:val="2"/>
        </w:numPr>
      </w:pPr>
      <w:r>
        <w:t xml:space="preserve">The </w:t>
      </w:r>
      <w:r w:rsidRPr="00BA26EB">
        <w:rPr>
          <w:i/>
          <w:iCs/>
        </w:rPr>
        <w:t>social model of disability</w:t>
      </w:r>
      <w:r w:rsidR="00062518">
        <w:t xml:space="preserve">, </w:t>
      </w:r>
      <w:r w:rsidR="00BA26EB">
        <w:t>“</w:t>
      </w:r>
      <w:r w:rsidR="008E0139">
        <w:t>what am I doing t</w:t>
      </w:r>
      <w:r w:rsidR="005F5E4B">
        <w:t xml:space="preserve">hat is disabling my </w:t>
      </w:r>
      <w:r w:rsidR="008F480B">
        <w:t xml:space="preserve">potential </w:t>
      </w:r>
      <w:r w:rsidR="005F5E4B">
        <w:t xml:space="preserve">participants”. </w:t>
      </w:r>
      <w:r w:rsidR="0017472A">
        <w:t>How do people with a disability know they could take part and have their needs accommodated</w:t>
      </w:r>
      <w:r w:rsidR="00177CF8">
        <w:t>?</w:t>
      </w:r>
    </w:p>
    <w:p w14:paraId="0CF20813" w14:textId="5A230219" w:rsidR="00A04C31" w:rsidRDefault="00177CF8" w:rsidP="00062518">
      <w:pPr>
        <w:pStyle w:val="ListParagraph"/>
        <w:numPr>
          <w:ilvl w:val="0"/>
          <w:numId w:val="2"/>
        </w:numPr>
      </w:pPr>
      <w:r>
        <w:t>A</w:t>
      </w:r>
      <w:r w:rsidR="00A04C31">
        <w:t xml:space="preserve">s a researcher you have a </w:t>
      </w:r>
      <w:r w:rsidR="00BC2DF7">
        <w:t>responsibility</w:t>
      </w:r>
      <w:r w:rsidR="00A04C31">
        <w:t xml:space="preserve"> to undertake </w:t>
      </w:r>
      <w:r w:rsidR="00BC2DF7">
        <w:t xml:space="preserve">the </w:t>
      </w:r>
      <w:r w:rsidR="003348D8">
        <w:t>‘</w:t>
      </w:r>
      <w:r w:rsidR="00BC2DF7">
        <w:t>accommodations</w:t>
      </w:r>
      <w:r w:rsidR="003348D8">
        <w:t>’</w:t>
      </w:r>
      <w:r w:rsidR="00BC2DF7">
        <w:t xml:space="preserve"> for your participants. </w:t>
      </w:r>
    </w:p>
    <w:p w14:paraId="26CDC51E" w14:textId="38425045" w:rsidR="002443B7" w:rsidRDefault="00694688" w:rsidP="00694688">
      <w:pPr>
        <w:pStyle w:val="ListParagraph"/>
        <w:numPr>
          <w:ilvl w:val="0"/>
          <w:numId w:val="2"/>
        </w:numPr>
      </w:pPr>
      <w:r>
        <w:t>Disability</w:t>
      </w:r>
      <w:r w:rsidR="00BC2DF7">
        <w:t xml:space="preserve"> is </w:t>
      </w:r>
      <w:r>
        <w:t xml:space="preserve">all-inclusive – anyone can be disabled. </w:t>
      </w:r>
      <w:r w:rsidR="003348D8">
        <w:t xml:space="preserve">Taking </w:t>
      </w:r>
      <w:r w:rsidR="00EE2998">
        <w:t xml:space="preserve">an </w:t>
      </w:r>
      <w:r w:rsidR="005D0617">
        <w:t xml:space="preserve">intersectional viewpoint, </w:t>
      </w:r>
      <w:r w:rsidR="00EE2998">
        <w:t>people can be many things (</w:t>
      </w:r>
      <w:r w:rsidR="00FA170D">
        <w:t xml:space="preserve">wheelchair users, </w:t>
      </w:r>
      <w:proofErr w:type="gramStart"/>
      <w:r w:rsidR="00FA170D">
        <w:t>woman</w:t>
      </w:r>
      <w:proofErr w:type="gramEnd"/>
      <w:r w:rsidR="00FA170D">
        <w:t xml:space="preserve"> and mother</w:t>
      </w:r>
      <w:r w:rsidR="00EE2998">
        <w:t>)</w:t>
      </w:r>
      <w:r w:rsidR="00FA170D">
        <w:t xml:space="preserve"> and </w:t>
      </w:r>
      <w:r w:rsidR="00EE2998">
        <w:t xml:space="preserve">also </w:t>
      </w:r>
      <w:r w:rsidR="00FA170D">
        <w:t xml:space="preserve">recognising positions of privilege. </w:t>
      </w:r>
      <w:r w:rsidR="004817A2">
        <w:t xml:space="preserve"> </w:t>
      </w:r>
    </w:p>
    <w:p w14:paraId="0AC82D25" w14:textId="558B75BA" w:rsidR="004804BB" w:rsidRDefault="00CC4ED7" w:rsidP="00694688">
      <w:pPr>
        <w:pStyle w:val="ListParagraph"/>
        <w:numPr>
          <w:ilvl w:val="0"/>
          <w:numId w:val="2"/>
        </w:numPr>
      </w:pPr>
      <w:r>
        <w:t>Access to healthcare is a right, therefore, access to research is a right</w:t>
      </w:r>
      <w:r w:rsidR="0008686C">
        <w:t xml:space="preserve">. </w:t>
      </w:r>
    </w:p>
    <w:p w14:paraId="5428E890" w14:textId="1AF83852" w:rsidR="004F16E0" w:rsidRDefault="004F16E0" w:rsidP="00694688">
      <w:pPr>
        <w:pStyle w:val="ListParagraph"/>
        <w:numPr>
          <w:ilvl w:val="0"/>
          <w:numId w:val="2"/>
        </w:numPr>
      </w:pPr>
      <w:r>
        <w:t xml:space="preserve">Currently living in a hostile environment, COVID and Cost of Living, access to benefits cut. </w:t>
      </w:r>
      <w:r w:rsidR="00A84B88">
        <w:t>Research can be seen as a</w:t>
      </w:r>
      <w:r w:rsidR="00676D7E">
        <w:t>n</w:t>
      </w:r>
      <w:r w:rsidR="00A84B88">
        <w:t xml:space="preserve"> additional burden. </w:t>
      </w:r>
    </w:p>
    <w:p w14:paraId="723BC74C" w14:textId="6E1110E9" w:rsidR="00A84B88" w:rsidRDefault="00A84B88" w:rsidP="00694688">
      <w:pPr>
        <w:pStyle w:val="ListParagraph"/>
        <w:numPr>
          <w:ilvl w:val="0"/>
          <w:numId w:val="2"/>
        </w:numPr>
      </w:pPr>
      <w:r>
        <w:t xml:space="preserve">Importance of social </w:t>
      </w:r>
      <w:r w:rsidR="00B05DD2">
        <w:t>niceties</w:t>
      </w:r>
      <w:r>
        <w:t xml:space="preserve">, tea and biscuits, travel costs, time for social time. </w:t>
      </w:r>
    </w:p>
    <w:p w14:paraId="2C8E414B" w14:textId="77777777" w:rsidR="00415309" w:rsidRDefault="00415309"/>
    <w:p w14:paraId="12AD8CAD" w14:textId="2F94E445" w:rsidR="00D44589" w:rsidRDefault="00076569">
      <w:r>
        <w:t xml:space="preserve">Our </w:t>
      </w:r>
      <w:proofErr w:type="gramStart"/>
      <w:r>
        <w:t>d</w:t>
      </w:r>
      <w:r w:rsidR="00D44589">
        <w:t>iscussion</w:t>
      </w:r>
      <w:r>
        <w:t>;</w:t>
      </w:r>
      <w:proofErr w:type="gramEnd"/>
      <w:r>
        <w:t xml:space="preserve"> </w:t>
      </w:r>
    </w:p>
    <w:p w14:paraId="3D9E6DEB" w14:textId="05841193" w:rsidR="002236FD" w:rsidRDefault="0028116F" w:rsidP="00DC567F">
      <w:pPr>
        <w:pStyle w:val="ListParagraph"/>
        <w:numPr>
          <w:ilvl w:val="0"/>
          <w:numId w:val="1"/>
        </w:numPr>
      </w:pPr>
      <w:r>
        <w:t xml:space="preserve">As well as asking </w:t>
      </w:r>
      <w:r w:rsidR="002236FD">
        <w:t>“What can I do for you</w:t>
      </w:r>
      <w:r w:rsidR="00BB63BD">
        <w:t xml:space="preserve"> to join</w:t>
      </w:r>
      <w:r w:rsidR="002236FD">
        <w:t>?</w:t>
      </w:r>
      <w:r w:rsidR="00165EEC">
        <w:t xml:space="preserve"> (</w:t>
      </w:r>
      <w:proofErr w:type="gramStart"/>
      <w:r w:rsidR="00676D7E">
        <w:t>where</w:t>
      </w:r>
      <w:proofErr w:type="gramEnd"/>
      <w:r w:rsidR="00676D7E">
        <w:t xml:space="preserve"> </w:t>
      </w:r>
      <w:r w:rsidR="00165EEC">
        <w:t xml:space="preserve">the onus is on the person)” - </w:t>
      </w:r>
      <w:r w:rsidR="00EB4DDA">
        <w:t xml:space="preserve">try and do what you can to start with, this will build trust. </w:t>
      </w:r>
      <w:r w:rsidR="004C0AE4">
        <w:t xml:space="preserve"> No such thing as </w:t>
      </w:r>
      <w:r w:rsidR="004465B1">
        <w:t xml:space="preserve">having </w:t>
      </w:r>
      <w:r w:rsidR="002A0A83">
        <w:t>‘</w:t>
      </w:r>
      <w:r w:rsidR="004C0AE4">
        <w:t>too accessible</w:t>
      </w:r>
      <w:r w:rsidR="004465B1">
        <w:t>’</w:t>
      </w:r>
      <w:r w:rsidR="004C0AE4">
        <w:t xml:space="preserve"> information. </w:t>
      </w:r>
    </w:p>
    <w:p w14:paraId="0C04116D" w14:textId="772E2EF4" w:rsidR="00EB4DDA" w:rsidRDefault="00EB4DDA" w:rsidP="00DC567F">
      <w:pPr>
        <w:pStyle w:val="ListParagraph"/>
        <w:numPr>
          <w:ilvl w:val="0"/>
          <w:numId w:val="1"/>
        </w:numPr>
      </w:pPr>
      <w:r>
        <w:t xml:space="preserve">Think of sending photos of venues, </w:t>
      </w:r>
      <w:r w:rsidR="0028116F">
        <w:t xml:space="preserve">pre-meetings, have a quiet room available. </w:t>
      </w:r>
      <w:r w:rsidR="009215F8">
        <w:t xml:space="preserve"> Map of walk from bus stop to venue. Weblink to venue. We can provide BSL</w:t>
      </w:r>
      <w:r w:rsidR="002A4A54">
        <w:t>, step free room. We have thought about you, would you like to come</w:t>
      </w:r>
      <w:r w:rsidR="00290A00">
        <w:t xml:space="preserve">? </w:t>
      </w:r>
      <w:r w:rsidR="002A4A54">
        <w:t xml:space="preserve"> </w:t>
      </w:r>
      <w:r w:rsidR="00FA2FF9">
        <w:t xml:space="preserve">Dimension of toilet </w:t>
      </w:r>
      <w:r w:rsidR="002F276D">
        <w:t xml:space="preserve">space </w:t>
      </w:r>
      <w:r w:rsidR="00FA2FF9">
        <w:t>– makes invite more real</w:t>
      </w:r>
      <w:r w:rsidR="00290A00">
        <w:t xml:space="preserve"> (we do mean ‘you’</w:t>
      </w:r>
      <w:r w:rsidR="00296D71">
        <w:t xml:space="preserve"> are invited</w:t>
      </w:r>
      <w:r w:rsidR="00290A00">
        <w:t xml:space="preserve">).  </w:t>
      </w:r>
    </w:p>
    <w:p w14:paraId="1DC8C4DE" w14:textId="0264066E" w:rsidR="00371B4A" w:rsidRDefault="00371B4A" w:rsidP="00DC567F">
      <w:pPr>
        <w:pStyle w:val="ListParagraph"/>
        <w:numPr>
          <w:ilvl w:val="0"/>
          <w:numId w:val="1"/>
        </w:numPr>
      </w:pPr>
      <w:r>
        <w:t xml:space="preserve">Patient Information </w:t>
      </w:r>
      <w:r w:rsidR="004B306D">
        <w:t xml:space="preserve">sheets: </w:t>
      </w:r>
      <w:proofErr w:type="spellStart"/>
      <w:r w:rsidR="004B306D">
        <w:t>EasyRead</w:t>
      </w:r>
      <w:proofErr w:type="spellEnd"/>
      <w:r w:rsidR="004B306D">
        <w:t xml:space="preserve"> – easier for everyone. How many people give </w:t>
      </w:r>
      <w:r w:rsidR="001938EE">
        <w:t xml:space="preserve">true </w:t>
      </w:r>
      <w:r w:rsidR="004B306D">
        <w:t>‘informed consent</w:t>
      </w:r>
      <w:proofErr w:type="gramStart"/>
      <w:r w:rsidR="004B306D">
        <w:t xml:space="preserve">’ </w:t>
      </w:r>
      <w:r w:rsidR="001938EE">
        <w:t>in reality</w:t>
      </w:r>
      <w:r w:rsidR="00442718">
        <w:t xml:space="preserve">, </w:t>
      </w:r>
      <w:r w:rsidR="001938EE">
        <w:t>do</w:t>
      </w:r>
      <w:proofErr w:type="gramEnd"/>
      <w:r w:rsidR="001938EE">
        <w:t xml:space="preserve"> </w:t>
      </w:r>
      <w:r w:rsidR="00A71392">
        <w:t xml:space="preserve">people </w:t>
      </w:r>
      <w:r w:rsidR="001938EE">
        <w:t xml:space="preserve">read all the small print? </w:t>
      </w:r>
      <w:r w:rsidR="00442718">
        <w:t xml:space="preserve">We discussed </w:t>
      </w:r>
      <w:r w:rsidR="00284720">
        <w:t xml:space="preserve">ethics and making </w:t>
      </w:r>
      <w:r w:rsidR="00A71392">
        <w:t xml:space="preserve">processes more </w:t>
      </w:r>
      <w:r w:rsidR="00284720">
        <w:t xml:space="preserve">accessible. </w:t>
      </w:r>
    </w:p>
    <w:p w14:paraId="1E58945A" w14:textId="4B249F56" w:rsidR="001938EE" w:rsidRDefault="00553E11" w:rsidP="00DC567F">
      <w:pPr>
        <w:pStyle w:val="ListParagraph"/>
        <w:numPr>
          <w:ilvl w:val="0"/>
          <w:numId w:val="1"/>
        </w:numPr>
      </w:pPr>
      <w:r>
        <w:t>I</w:t>
      </w:r>
      <w:r w:rsidR="00E7351E">
        <w:t xml:space="preserve">nclusion is often under resourced and underfunded. </w:t>
      </w:r>
    </w:p>
    <w:p w14:paraId="7D6CEDEF" w14:textId="6A7CD46F" w:rsidR="00E7351E" w:rsidRDefault="00E2105C" w:rsidP="00DC567F">
      <w:pPr>
        <w:pStyle w:val="ListParagraph"/>
        <w:numPr>
          <w:ilvl w:val="0"/>
          <w:numId w:val="1"/>
        </w:numPr>
      </w:pPr>
      <w:r>
        <w:t>Service users should be involved in making videos and Guidance</w:t>
      </w:r>
      <w:r w:rsidR="000D00F8">
        <w:t xml:space="preserve"> on inclusion. </w:t>
      </w:r>
    </w:p>
    <w:p w14:paraId="74601673" w14:textId="2B8FB557" w:rsidR="00E2105C" w:rsidRDefault="000D00F8" w:rsidP="00DC567F">
      <w:pPr>
        <w:pStyle w:val="ListParagraph"/>
        <w:numPr>
          <w:ilvl w:val="0"/>
          <w:numId w:val="1"/>
        </w:numPr>
      </w:pPr>
      <w:r>
        <w:t>Be w</w:t>
      </w:r>
      <w:r w:rsidR="00E2105C">
        <w:t xml:space="preserve">illing to make mistakes, researchers </w:t>
      </w:r>
      <w:r>
        <w:t xml:space="preserve">should </w:t>
      </w:r>
      <w:r w:rsidR="00E2105C">
        <w:t xml:space="preserve">try, </w:t>
      </w:r>
      <w:r w:rsidR="00284720">
        <w:t xml:space="preserve">there is no such thing as perfect. </w:t>
      </w:r>
      <w:r w:rsidR="00404D3E">
        <w:t xml:space="preserve"> Admitting failure</w:t>
      </w:r>
      <w:r w:rsidR="002709AA">
        <w:t xml:space="preserve"> and reflect on how to do things better next time. </w:t>
      </w:r>
    </w:p>
    <w:p w14:paraId="360CB816" w14:textId="54B88B64" w:rsidR="00A778CE" w:rsidRDefault="00565686">
      <w:pPr>
        <w:rPr>
          <w:b/>
          <w:bCs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0FDB28F" wp14:editId="33FC46F2">
            <wp:simplePos x="0" y="0"/>
            <wp:positionH relativeFrom="column">
              <wp:posOffset>2838450</wp:posOffset>
            </wp:positionH>
            <wp:positionV relativeFrom="paragraph">
              <wp:posOffset>265430</wp:posOffset>
            </wp:positionV>
            <wp:extent cx="3714750" cy="3495675"/>
            <wp:effectExtent l="0" t="0" r="0" b="0"/>
            <wp:wrapTight wrapText="bothSides">
              <wp:wrapPolygon edited="0">
                <wp:start x="9415" y="118"/>
                <wp:lineTo x="8197" y="471"/>
                <wp:lineTo x="4652" y="1883"/>
                <wp:lineTo x="4098" y="2707"/>
                <wp:lineTo x="2658" y="4120"/>
                <wp:lineTo x="1440" y="6003"/>
                <wp:lineTo x="665" y="7887"/>
                <wp:lineTo x="332" y="9770"/>
                <wp:lineTo x="222" y="11653"/>
                <wp:lineTo x="443" y="13537"/>
                <wp:lineTo x="1108" y="15420"/>
                <wp:lineTo x="1994" y="17304"/>
                <wp:lineTo x="3545" y="19187"/>
                <wp:lineTo x="6535" y="21306"/>
                <wp:lineTo x="6978" y="21306"/>
                <wp:lineTo x="14732" y="21070"/>
                <wp:lineTo x="17945" y="20482"/>
                <wp:lineTo x="17945" y="19187"/>
                <wp:lineTo x="19495" y="17304"/>
                <wp:lineTo x="20382" y="15420"/>
                <wp:lineTo x="21046" y="13537"/>
                <wp:lineTo x="21268" y="11653"/>
                <wp:lineTo x="21157" y="9770"/>
                <wp:lineTo x="20825" y="7887"/>
                <wp:lineTo x="20049" y="6003"/>
                <wp:lineTo x="18831" y="4120"/>
                <wp:lineTo x="17169" y="2472"/>
                <wp:lineTo x="16837" y="1883"/>
                <wp:lineTo x="13292" y="471"/>
                <wp:lineTo x="12074" y="118"/>
                <wp:lineTo x="9415" y="118"/>
              </wp:wrapPolygon>
            </wp:wrapTight>
            <wp:docPr id="682" name="Shape 682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" name="Shape 682" descr="Diagram&#10;&#10;Description automatically generated"/>
                    <pic:cNvPicPr preferRelativeResize="0"/>
                  </pic:nvPicPr>
                  <pic:blipFill>
                    <a:blip r:embed="rId8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u w:val="single"/>
        </w:rPr>
        <w:t>L</w:t>
      </w:r>
      <w:r w:rsidR="00D75115" w:rsidRPr="00D75115">
        <w:rPr>
          <w:b/>
          <w:bCs/>
          <w:u w:val="single"/>
        </w:rPr>
        <w:t>inks and Resources</w:t>
      </w:r>
    </w:p>
    <w:p w14:paraId="23ED5CC5" w14:textId="7D0B7FF2" w:rsidR="001D7E77" w:rsidRPr="001D7E77" w:rsidRDefault="001D7E77">
      <w:pPr>
        <w:rPr>
          <w:b/>
          <w:bCs/>
        </w:rPr>
      </w:pPr>
      <w:r w:rsidRPr="001D7E77">
        <w:rPr>
          <w:b/>
          <w:bCs/>
        </w:rPr>
        <w:t>Have I thought about all these areas</w:t>
      </w:r>
      <w:r w:rsidR="00917D33">
        <w:rPr>
          <w:b/>
          <w:bCs/>
        </w:rPr>
        <w:t xml:space="preserve"> to do Patient Engagement or involve people in your research</w:t>
      </w:r>
      <w:r w:rsidR="00FB68C2">
        <w:rPr>
          <w:b/>
          <w:bCs/>
        </w:rPr>
        <w:t>?</w:t>
      </w:r>
      <w:r w:rsidR="00917D33">
        <w:rPr>
          <w:b/>
          <w:bCs/>
        </w:rPr>
        <w:t xml:space="preserve"> </w:t>
      </w:r>
    </w:p>
    <w:p w14:paraId="06803F7E" w14:textId="1161D627" w:rsidR="001D7E77" w:rsidRDefault="001D7E77" w:rsidP="001D7E77">
      <w:pPr>
        <w:pStyle w:val="ListParagraph"/>
        <w:numPr>
          <w:ilvl w:val="0"/>
          <w:numId w:val="3"/>
        </w:numPr>
      </w:pPr>
      <w:r w:rsidRPr="001D7E77">
        <w:t>Shared Purpose</w:t>
      </w:r>
    </w:p>
    <w:p w14:paraId="716143F2" w14:textId="12A13DC0" w:rsidR="001D7E77" w:rsidRDefault="001D7E77" w:rsidP="001D7E77">
      <w:pPr>
        <w:pStyle w:val="ListParagraph"/>
        <w:numPr>
          <w:ilvl w:val="0"/>
          <w:numId w:val="3"/>
        </w:numPr>
      </w:pPr>
      <w:r>
        <w:t>Respect and accessibility</w:t>
      </w:r>
    </w:p>
    <w:p w14:paraId="23AB0E70" w14:textId="1BD9BDC6" w:rsidR="001D7E77" w:rsidRDefault="001D7E77" w:rsidP="001D7E77">
      <w:pPr>
        <w:pStyle w:val="ListParagraph"/>
        <w:numPr>
          <w:ilvl w:val="0"/>
          <w:numId w:val="3"/>
        </w:numPr>
      </w:pPr>
      <w:r>
        <w:t>Representative</w:t>
      </w:r>
      <w:r w:rsidR="003C0FE4">
        <w:t>ness of stakeholders</w:t>
      </w:r>
    </w:p>
    <w:p w14:paraId="0B5211C6" w14:textId="169E9AF4" w:rsidR="003C0FE4" w:rsidRDefault="003C0FE4" w:rsidP="001D7E77">
      <w:pPr>
        <w:pStyle w:val="ListParagraph"/>
        <w:numPr>
          <w:ilvl w:val="0"/>
          <w:numId w:val="3"/>
        </w:numPr>
      </w:pPr>
      <w:r>
        <w:t>Roles and responsibilities</w:t>
      </w:r>
    </w:p>
    <w:p w14:paraId="2CE6F709" w14:textId="3C4C9418" w:rsidR="003C0FE4" w:rsidRDefault="003C0FE4" w:rsidP="001D7E77">
      <w:pPr>
        <w:pStyle w:val="ListParagraph"/>
        <w:numPr>
          <w:ilvl w:val="0"/>
          <w:numId w:val="3"/>
        </w:numPr>
      </w:pPr>
      <w:r>
        <w:t>Capacity and capability for engagement</w:t>
      </w:r>
    </w:p>
    <w:p w14:paraId="7B59FA03" w14:textId="72A7C176" w:rsidR="003C0FE4" w:rsidRDefault="003C0FE4" w:rsidP="001D7E77">
      <w:pPr>
        <w:pStyle w:val="ListParagraph"/>
        <w:numPr>
          <w:ilvl w:val="0"/>
          <w:numId w:val="3"/>
        </w:numPr>
      </w:pPr>
      <w:r>
        <w:t>Transparency in communication and documentation</w:t>
      </w:r>
    </w:p>
    <w:p w14:paraId="28B5BB5D" w14:textId="6C255A5D" w:rsidR="003C0FE4" w:rsidRPr="001D7E77" w:rsidRDefault="003C0FE4" w:rsidP="001D7E77">
      <w:pPr>
        <w:pStyle w:val="ListParagraph"/>
        <w:numPr>
          <w:ilvl w:val="0"/>
          <w:numId w:val="3"/>
        </w:numPr>
      </w:pPr>
      <w:r>
        <w:t xml:space="preserve">Continuity and sustainability </w:t>
      </w:r>
    </w:p>
    <w:p w14:paraId="5905BDD1" w14:textId="4F157839" w:rsidR="00415309" w:rsidRPr="00CA0B46" w:rsidRDefault="00CA0B46" w:rsidP="00CA0B46">
      <w:pPr>
        <w:rPr>
          <w:i/>
          <w:iCs/>
        </w:rPr>
      </w:pPr>
      <w:r w:rsidRPr="00CA0B46">
        <w:rPr>
          <w:i/>
          <w:iCs/>
        </w:rPr>
        <w:t>Do not reproduce withou</w:t>
      </w:r>
      <w:r w:rsidR="006307A8">
        <w:rPr>
          <w:i/>
          <w:iCs/>
        </w:rPr>
        <w:t>t</w:t>
      </w:r>
      <w:r w:rsidRPr="00CA0B46">
        <w:rPr>
          <w:i/>
          <w:iCs/>
        </w:rPr>
        <w:t xml:space="preserve"> acknowledgment: </w:t>
      </w:r>
    </w:p>
    <w:p w14:paraId="285FB4E4" w14:textId="492F48B4" w:rsidR="00FB485B" w:rsidRDefault="00481B97">
      <w:r>
        <w:t xml:space="preserve">Deane, K. et al, (2019) Co-creation of patient engagement </w:t>
      </w:r>
      <w:r w:rsidR="009168DC">
        <w:t xml:space="preserve">quality guidance for medicines development: an international multistakeholder initiative, </w:t>
      </w:r>
      <w:r w:rsidR="00876D29" w:rsidRPr="00876D29">
        <w:rPr>
          <w:i/>
          <w:iCs/>
        </w:rPr>
        <w:t>BMJ Innovations</w:t>
      </w:r>
      <w:r w:rsidR="00876D29">
        <w:t xml:space="preserve">, 13. </w:t>
      </w:r>
      <w:hyperlink r:id="rId9" w:history="1">
        <w:r w:rsidRPr="00CD7BFF">
          <w:rPr>
            <w:rStyle w:val="Hyperlink"/>
          </w:rPr>
          <w:t>https://innovations.bmj.com/content/5/1/43</w:t>
        </w:r>
      </w:hyperlink>
    </w:p>
    <w:p w14:paraId="2D2DB55A" w14:textId="67FCA7BD" w:rsidR="00481B97" w:rsidRDefault="008E58F6">
      <w:r>
        <w:t xml:space="preserve">Other links: </w:t>
      </w:r>
    </w:p>
    <w:p w14:paraId="7B7506A1" w14:textId="62BBEE47" w:rsidR="00917D33" w:rsidRDefault="00EA39EC" w:rsidP="001C7576">
      <w:pPr>
        <w:rPr>
          <w:rStyle w:val="Hyperlink"/>
        </w:rPr>
      </w:pPr>
      <w:hyperlink r:id="rId10" w:history="1">
        <w:r w:rsidR="00917D33" w:rsidRPr="00CD7BFF">
          <w:rPr>
            <w:rStyle w:val="Hyperlink"/>
          </w:rPr>
          <w:t>https://butyoudontlooksick.com/articles/written-by-christine/the-spoon-theory/</w:t>
        </w:r>
      </w:hyperlink>
    </w:p>
    <w:p w14:paraId="4B25A3B7" w14:textId="77777777" w:rsidR="008E58F6" w:rsidRDefault="00EA39EC" w:rsidP="001C7576">
      <w:hyperlink r:id="rId11" w:history="1">
        <w:r w:rsidR="008E58F6">
          <w:rPr>
            <w:rStyle w:val="Hyperlink"/>
          </w:rPr>
          <w:t>https://patientfocusedmedicine.org/</w:t>
        </w:r>
      </w:hyperlink>
      <w:r w:rsidR="008E58F6">
        <w:t xml:space="preserve"> has a lot of resources on </w:t>
      </w:r>
      <w:proofErr w:type="gramStart"/>
      <w:r w:rsidR="008E58F6">
        <w:t>how to do good</w:t>
      </w:r>
      <w:proofErr w:type="gramEnd"/>
      <w:r w:rsidR="008E58F6">
        <w:t xml:space="preserve"> PPI – aimed at the pharmaceutical world but the principles are sound.</w:t>
      </w:r>
    </w:p>
    <w:p w14:paraId="7E068E06" w14:textId="20308663" w:rsidR="008E58F6" w:rsidRDefault="00EA39EC" w:rsidP="001C7576">
      <w:hyperlink r:id="rId12" w:history="1">
        <w:r w:rsidR="008E58F6">
          <w:rPr>
            <w:rStyle w:val="Hyperlink"/>
          </w:rPr>
          <w:t>https://www.nihr.ac.uk/documents/improving-inclusion-of-under-served-groups-in-clinical-research-guidance-from-include-project/25435</w:t>
        </w:r>
      </w:hyperlink>
      <w:r w:rsidR="008E58F6">
        <w:t xml:space="preserve"> is NIHR’s guidance on improving access of </w:t>
      </w:r>
      <w:proofErr w:type="spellStart"/>
      <w:r w:rsidR="008E58F6">
        <w:t>under served</w:t>
      </w:r>
      <w:proofErr w:type="spellEnd"/>
      <w:r w:rsidR="008E58F6">
        <w:t xml:space="preserve"> groups to research – including the disabled community</w:t>
      </w:r>
    </w:p>
    <w:p w14:paraId="247804FE" w14:textId="3B96A175" w:rsidR="000B5DB5" w:rsidRDefault="000B5DB5" w:rsidP="001C7576">
      <w:pPr>
        <w:pStyle w:val="BodyText2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Panel Member “What changes are already making a difference in research culture?” </w:t>
      </w:r>
      <w:hyperlink r:id="rId13" w:history="1">
        <w:r>
          <w:rPr>
            <w:rStyle w:val="Hyperlink"/>
            <w:rFonts w:ascii="Calibri" w:hAnsi="Calibri" w:cs="Calibri"/>
            <w:sz w:val="22"/>
            <w:szCs w:val="22"/>
          </w:rPr>
          <w:t>https://wellcome.org/news/which-changes-are-already-making-difference-research-culture</w:t>
        </w:r>
      </w:hyperlink>
    </w:p>
    <w:p w14:paraId="1335F723" w14:textId="77777777" w:rsidR="0081157B" w:rsidRDefault="0081157B" w:rsidP="001C7576">
      <w:pPr>
        <w:pStyle w:val="BodyText2"/>
        <w:jc w:val="left"/>
        <w:rPr>
          <w:rFonts w:ascii="Calibri" w:hAnsi="Calibri" w:cs="Calibri"/>
          <w:sz w:val="22"/>
          <w:szCs w:val="22"/>
        </w:rPr>
      </w:pPr>
    </w:p>
    <w:p w14:paraId="2B644E74" w14:textId="1CBCD4A1" w:rsidR="000B5DB5" w:rsidRDefault="000B5DB5" w:rsidP="001C7576">
      <w:pPr>
        <w:pStyle w:val="BodyText2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Podcast where I discuss failure and how important it is for research.</w:t>
      </w:r>
      <w:r>
        <w:rPr>
          <w:rFonts w:ascii="Calibri" w:hAnsi="Calibri" w:cs="Calibri"/>
          <w:b/>
          <w:bCs/>
          <w:color w:val="333332"/>
          <w:sz w:val="22"/>
          <w:szCs w:val="22"/>
        </w:rPr>
        <w:t xml:space="preserve"> Values, disability, saying no, and how fabulous it is to fail during the research process. Oct 2021 </w:t>
      </w:r>
      <w:hyperlink r:id="rId14" w:history="1">
        <w:r>
          <w:rPr>
            <w:rStyle w:val="Hyperlink"/>
            <w:rFonts w:ascii="Calibri" w:hAnsi="Calibri" w:cs="Calibri"/>
            <w:b/>
            <w:bCs/>
            <w:sz w:val="22"/>
            <w:szCs w:val="22"/>
          </w:rPr>
          <w:t>https://emmaelvidge.wordpress.com/2021/10/26/episode_2_katherine_deane/</w:t>
        </w:r>
      </w:hyperlink>
    </w:p>
    <w:p w14:paraId="52418B53" w14:textId="77777777" w:rsidR="0081157B" w:rsidRDefault="0081157B" w:rsidP="001C7576">
      <w:pPr>
        <w:pStyle w:val="BodyText"/>
        <w:spacing w:after="0"/>
      </w:pPr>
    </w:p>
    <w:p w14:paraId="42228B3C" w14:textId="04F2ED65" w:rsidR="000B5DB5" w:rsidRDefault="000B5DB5" w:rsidP="001C7576">
      <w:pPr>
        <w:pStyle w:val="BodyText"/>
        <w:spacing w:after="0"/>
        <w:rPr>
          <w:b/>
          <w:bCs/>
        </w:rPr>
      </w:pPr>
      <w:r>
        <w:t xml:space="preserve">Talk where I discuss the value of having disabled scientists – particularly in the context of inspiring and encouraging the next generation of scientists by visits to science and discovery centres and ensuring they are </w:t>
      </w:r>
      <w:proofErr w:type="gramStart"/>
      <w:r>
        <w:t>really accessible</w:t>
      </w:r>
      <w:proofErr w:type="gramEnd"/>
      <w:r>
        <w:t>. Deane K.</w:t>
      </w:r>
      <w:r>
        <w:rPr>
          <w:b/>
          <w:bCs/>
        </w:rPr>
        <w:t xml:space="preserve"> Benefits of being a Disabled Scientist. UK Association for Science and Discovery Centres. 01 Jun 2020 </w:t>
      </w:r>
      <w:hyperlink r:id="rId15" w:history="1">
        <w:r>
          <w:rPr>
            <w:rStyle w:val="Hyperlink"/>
            <w:b/>
            <w:bCs/>
          </w:rPr>
          <w:t>https://www.youtube.com/watch?v=vjMHySCxY2k&amp;feature=youtu.be</w:t>
        </w:r>
      </w:hyperlink>
      <w:r>
        <w:rPr>
          <w:b/>
          <w:bCs/>
        </w:rPr>
        <w:t xml:space="preserve"> </w:t>
      </w:r>
    </w:p>
    <w:p w14:paraId="4244677F" w14:textId="378ABFC7" w:rsidR="000B5DB5" w:rsidRDefault="000B5DB5" w:rsidP="000B5DB5">
      <w:pPr>
        <w:pStyle w:val="BodyText"/>
        <w:spacing w:after="0"/>
        <w:jc w:val="both"/>
        <w:rPr>
          <w:b/>
          <w:bCs/>
        </w:rPr>
      </w:pPr>
      <w:r>
        <w:t xml:space="preserve">Talk about some of the more toxic attitudes around disability – and the impact this has on the design of science and discovery centres. Deane K. </w:t>
      </w:r>
      <w:r>
        <w:rPr>
          <w:b/>
          <w:bCs/>
        </w:rPr>
        <w:t xml:space="preserve">Your Attitude Sucks! UK Association for Science and Discovery Centres. 01 Jun 2020 </w:t>
      </w:r>
      <w:hyperlink r:id="rId16" w:history="1">
        <w:r>
          <w:rPr>
            <w:rStyle w:val="Hyperlink"/>
            <w:b/>
            <w:bCs/>
          </w:rPr>
          <w:t>https://www.youtube.com/watch?v=pUn5RVW9JlA&amp;t=130s</w:t>
        </w:r>
      </w:hyperlink>
      <w:r>
        <w:rPr>
          <w:b/>
          <w:bCs/>
        </w:rPr>
        <w:t xml:space="preserve"> </w:t>
      </w:r>
    </w:p>
    <w:p w14:paraId="60EBF9DA" w14:textId="77777777" w:rsidR="0081157B" w:rsidRDefault="0081157B" w:rsidP="000B5DB5">
      <w:pPr>
        <w:pStyle w:val="BodyText"/>
        <w:spacing w:after="0"/>
        <w:jc w:val="both"/>
        <w:rPr>
          <w:b/>
          <w:bCs/>
        </w:rPr>
      </w:pPr>
    </w:p>
    <w:p w14:paraId="52FEC33A" w14:textId="3F13A417" w:rsidR="00D75115" w:rsidRPr="00F405E6" w:rsidRDefault="000B5DB5" w:rsidP="00F405E6">
      <w:pPr>
        <w:pStyle w:val="BodyText"/>
        <w:spacing w:after="0"/>
        <w:jc w:val="both"/>
        <w:rPr>
          <w:b/>
          <w:bCs/>
        </w:rPr>
      </w:pPr>
      <w:r>
        <w:t xml:space="preserve">Talk about how to engage and consult well with disabled communities – particularly in the context of the design of the infrastructure and displays at science and discovery centres. Deane K. </w:t>
      </w:r>
      <w:r>
        <w:rPr>
          <w:b/>
          <w:bCs/>
        </w:rPr>
        <w:t>How to Screw Up, and how not to!</w:t>
      </w:r>
      <w:r>
        <w:t xml:space="preserve"> </w:t>
      </w:r>
      <w:r>
        <w:rPr>
          <w:b/>
          <w:bCs/>
        </w:rPr>
        <w:t xml:space="preserve">UK Association for Science and Discovery Centres. 01 Jun 2020 </w:t>
      </w:r>
      <w:hyperlink r:id="rId17" w:history="1">
        <w:r>
          <w:rPr>
            <w:rStyle w:val="Hyperlink"/>
            <w:b/>
            <w:bCs/>
          </w:rPr>
          <w:t>https://www.youtube.com/watch?v=THkZIOmvQxg&amp;t=32s</w:t>
        </w:r>
      </w:hyperlink>
      <w:r>
        <w:rPr>
          <w:b/>
          <w:bCs/>
        </w:rPr>
        <w:t xml:space="preserve"> </w:t>
      </w:r>
    </w:p>
    <w:sectPr w:rsidR="00D75115" w:rsidRPr="00F405E6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87253" w14:textId="77777777" w:rsidR="0060503F" w:rsidRDefault="0060503F" w:rsidP="007D2BFA">
      <w:pPr>
        <w:spacing w:after="0" w:line="240" w:lineRule="auto"/>
      </w:pPr>
      <w:r>
        <w:separator/>
      </w:r>
    </w:p>
  </w:endnote>
  <w:endnote w:type="continuationSeparator" w:id="0">
    <w:p w14:paraId="40BB8FCD" w14:textId="77777777" w:rsidR="0060503F" w:rsidRDefault="0060503F" w:rsidP="007D2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34C8F" w14:textId="77777777" w:rsidR="0060503F" w:rsidRDefault="0060503F" w:rsidP="007D2BFA">
      <w:pPr>
        <w:spacing w:after="0" w:line="240" w:lineRule="auto"/>
      </w:pPr>
      <w:r>
        <w:separator/>
      </w:r>
    </w:p>
  </w:footnote>
  <w:footnote w:type="continuationSeparator" w:id="0">
    <w:p w14:paraId="0FB5D478" w14:textId="77777777" w:rsidR="0060503F" w:rsidRDefault="0060503F" w:rsidP="007D2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308DB" w14:textId="6810FF20" w:rsidR="008335FC" w:rsidRDefault="008335FC">
    <w:pPr>
      <w:pStyle w:val="Header"/>
    </w:pPr>
    <w:r>
      <w:t xml:space="preserve">V1 20.9.22 Inclusive Methods NIHR ARC EoE IIRP Research Theme </w:t>
    </w:r>
    <w:r w:rsidR="007C05F1">
      <w:t>– Community of Practice</w:t>
    </w:r>
  </w:p>
  <w:p w14:paraId="68716C9A" w14:textId="77777777" w:rsidR="008335FC" w:rsidRDefault="008335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A0712"/>
    <w:multiLevelType w:val="hybridMultilevel"/>
    <w:tmpl w:val="0134A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B2D3B"/>
    <w:multiLevelType w:val="hybridMultilevel"/>
    <w:tmpl w:val="C7A80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84F92"/>
    <w:multiLevelType w:val="hybridMultilevel"/>
    <w:tmpl w:val="FF0AD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868917">
    <w:abstractNumId w:val="1"/>
  </w:num>
  <w:num w:numId="2" w16cid:durableId="1791628780">
    <w:abstractNumId w:val="0"/>
  </w:num>
  <w:num w:numId="3" w16cid:durableId="708072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5B"/>
    <w:rsid w:val="00020DD7"/>
    <w:rsid w:val="00032DE1"/>
    <w:rsid w:val="00062518"/>
    <w:rsid w:val="00076569"/>
    <w:rsid w:val="0008686C"/>
    <w:rsid w:val="000B5DB5"/>
    <w:rsid w:val="000D00F8"/>
    <w:rsid w:val="001300B5"/>
    <w:rsid w:val="00157AEC"/>
    <w:rsid w:val="00165EEC"/>
    <w:rsid w:val="0017472A"/>
    <w:rsid w:val="00177CEF"/>
    <w:rsid w:val="00177CF8"/>
    <w:rsid w:val="001938EE"/>
    <w:rsid w:val="001C7576"/>
    <w:rsid w:val="001D7E77"/>
    <w:rsid w:val="002236FD"/>
    <w:rsid w:val="002443B7"/>
    <w:rsid w:val="002504ED"/>
    <w:rsid w:val="002709AA"/>
    <w:rsid w:val="0028116F"/>
    <w:rsid w:val="00284720"/>
    <w:rsid w:val="00290A00"/>
    <w:rsid w:val="00296D71"/>
    <w:rsid w:val="002A0A83"/>
    <w:rsid w:val="002A4A54"/>
    <w:rsid w:val="002F276D"/>
    <w:rsid w:val="002F2ECC"/>
    <w:rsid w:val="003135E1"/>
    <w:rsid w:val="003348D8"/>
    <w:rsid w:val="00371B4A"/>
    <w:rsid w:val="003C0FE4"/>
    <w:rsid w:val="003D3720"/>
    <w:rsid w:val="00404D3E"/>
    <w:rsid w:val="00415309"/>
    <w:rsid w:val="00440EFD"/>
    <w:rsid w:val="00442718"/>
    <w:rsid w:val="004465B1"/>
    <w:rsid w:val="00453971"/>
    <w:rsid w:val="00454FD9"/>
    <w:rsid w:val="00470A16"/>
    <w:rsid w:val="004804BB"/>
    <w:rsid w:val="004817A2"/>
    <w:rsid w:val="00481B97"/>
    <w:rsid w:val="004A5E62"/>
    <w:rsid w:val="004B306D"/>
    <w:rsid w:val="004C0AE4"/>
    <w:rsid w:val="004D7C0C"/>
    <w:rsid w:val="004F16E0"/>
    <w:rsid w:val="00553E11"/>
    <w:rsid w:val="00565686"/>
    <w:rsid w:val="005751E9"/>
    <w:rsid w:val="00594231"/>
    <w:rsid w:val="005B4A24"/>
    <w:rsid w:val="005D0617"/>
    <w:rsid w:val="005F5E4B"/>
    <w:rsid w:val="0060503F"/>
    <w:rsid w:val="006307A8"/>
    <w:rsid w:val="00666F50"/>
    <w:rsid w:val="00676D7E"/>
    <w:rsid w:val="00694688"/>
    <w:rsid w:val="006B333B"/>
    <w:rsid w:val="006D08A6"/>
    <w:rsid w:val="007C05F1"/>
    <w:rsid w:val="007D2BFA"/>
    <w:rsid w:val="007D5C5D"/>
    <w:rsid w:val="0081157B"/>
    <w:rsid w:val="008335FC"/>
    <w:rsid w:val="008562F1"/>
    <w:rsid w:val="00876D29"/>
    <w:rsid w:val="008D22B9"/>
    <w:rsid w:val="008E0139"/>
    <w:rsid w:val="008E58F6"/>
    <w:rsid w:val="008F480B"/>
    <w:rsid w:val="00906507"/>
    <w:rsid w:val="009168DC"/>
    <w:rsid w:val="00917D33"/>
    <w:rsid w:val="009215F8"/>
    <w:rsid w:val="00926CAA"/>
    <w:rsid w:val="009D09B1"/>
    <w:rsid w:val="009E3154"/>
    <w:rsid w:val="009E5A34"/>
    <w:rsid w:val="009F2ECE"/>
    <w:rsid w:val="00A04C31"/>
    <w:rsid w:val="00A31A27"/>
    <w:rsid w:val="00A71392"/>
    <w:rsid w:val="00A778CE"/>
    <w:rsid w:val="00A84B88"/>
    <w:rsid w:val="00A86095"/>
    <w:rsid w:val="00A94B74"/>
    <w:rsid w:val="00AA0A43"/>
    <w:rsid w:val="00B03557"/>
    <w:rsid w:val="00B05DD2"/>
    <w:rsid w:val="00B76111"/>
    <w:rsid w:val="00BA26EB"/>
    <w:rsid w:val="00BB63BD"/>
    <w:rsid w:val="00BC2DF7"/>
    <w:rsid w:val="00BF29F0"/>
    <w:rsid w:val="00CA0B46"/>
    <w:rsid w:val="00CC0989"/>
    <w:rsid w:val="00CC4ED7"/>
    <w:rsid w:val="00D27953"/>
    <w:rsid w:val="00D44589"/>
    <w:rsid w:val="00D75115"/>
    <w:rsid w:val="00DC567F"/>
    <w:rsid w:val="00E16BBA"/>
    <w:rsid w:val="00E2105C"/>
    <w:rsid w:val="00E22CB2"/>
    <w:rsid w:val="00E7351E"/>
    <w:rsid w:val="00EA39EC"/>
    <w:rsid w:val="00EB3819"/>
    <w:rsid w:val="00EB4DDA"/>
    <w:rsid w:val="00EC6317"/>
    <w:rsid w:val="00EE2998"/>
    <w:rsid w:val="00EF5F33"/>
    <w:rsid w:val="00F405E6"/>
    <w:rsid w:val="00FA170D"/>
    <w:rsid w:val="00FA2FF9"/>
    <w:rsid w:val="00FB485B"/>
    <w:rsid w:val="00FB68C2"/>
    <w:rsid w:val="00FE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65601"/>
  <w15:chartTrackingRefBased/>
  <w15:docId w15:val="{9D47681F-073F-4EF9-BB36-4632F695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8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2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BFA"/>
  </w:style>
  <w:style w:type="paragraph" w:styleId="Footer">
    <w:name w:val="footer"/>
    <w:basedOn w:val="Normal"/>
    <w:link w:val="FooterChar"/>
    <w:uiPriority w:val="99"/>
    <w:unhideWhenUsed/>
    <w:rsid w:val="007D2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BFA"/>
  </w:style>
  <w:style w:type="paragraph" w:styleId="ListParagraph">
    <w:name w:val="List Paragraph"/>
    <w:basedOn w:val="Normal"/>
    <w:uiPriority w:val="34"/>
    <w:qFormat/>
    <w:rsid w:val="00DC567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0B5DB5"/>
    <w:pPr>
      <w:spacing w:after="120" w:line="240" w:lineRule="auto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B5DB5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B5DB5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B5DB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0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otect-eu.mimecast.com/s/B2IuCrELQFrp8BKu4vQPs?domain=wellcome.org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.Deane@uea.ac.uk" TargetMode="External"/><Relationship Id="rId12" Type="http://schemas.openxmlformats.org/officeDocument/2006/relationships/hyperlink" Target="https://protect-eu.mimecast.com/s/TjMPCqVKPh1D8MAFXTjqY?domain=nihr.ac.uk" TargetMode="External"/><Relationship Id="rId17" Type="http://schemas.openxmlformats.org/officeDocument/2006/relationships/hyperlink" Target="https://protect-eu.mimecast.com/s/yMClCy6V1s7grBvhP9hza?domain=youtube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tect-eu.mimecast.com/s/lCqYCxVRZhLy1W6HWeKu4?domain=youtube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tect-eu.mimecast.com/s/GIyaCpRJOc9GnRrhPOt6c?domain=patientfocusedmedicine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otect-eu.mimecast.com/s/KjDZCwEQYFv7GwMh1dBex?domain=youtube.com" TargetMode="External"/><Relationship Id="rId10" Type="http://schemas.openxmlformats.org/officeDocument/2006/relationships/hyperlink" Target="https://butyoudontlooksick.com/articles/written-by-christine/the-spoon-theory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novations.bmj.com/content/5/1/43" TargetMode="External"/><Relationship Id="rId14" Type="http://schemas.openxmlformats.org/officeDocument/2006/relationships/hyperlink" Target="https://protect-eu.mimecast.com/s/yJNgCvYPXuEG7kmhAH0Ge?domain=emmaelvidge.word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4873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Elspeth Mathie</dc:creator>
  <cp:keywords/>
  <dc:description/>
  <cp:lastModifiedBy>Nicole Jones</cp:lastModifiedBy>
  <cp:revision>2</cp:revision>
  <dcterms:created xsi:type="dcterms:W3CDTF">2022-12-19T11:17:00Z</dcterms:created>
  <dcterms:modified xsi:type="dcterms:W3CDTF">2022-12-19T11:17:00Z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276786-cf20-4f9d-b5c6-e06f7f4594c5_Enabled">
    <vt:lpwstr>true</vt:lpwstr>
  </property>
  <property fmtid="{D5CDD505-2E9C-101B-9397-08002B2CF9AE}" pid="3" name="MSIP_Label_fb276786-cf20-4f9d-b5c6-e06f7f4594c5_SetDate">
    <vt:lpwstr>2022-12-19T11:17:51Z</vt:lpwstr>
  </property>
  <property fmtid="{D5CDD505-2E9C-101B-9397-08002B2CF9AE}" pid="4" name="MSIP_Label_fb276786-cf20-4f9d-b5c6-e06f7f4594c5_Method">
    <vt:lpwstr>Standard</vt:lpwstr>
  </property>
  <property fmtid="{D5CDD505-2E9C-101B-9397-08002B2CF9AE}" pid="5" name="MSIP_Label_fb276786-cf20-4f9d-b5c6-e06f7f4594c5_Name">
    <vt:lpwstr>defa4170-0d19-0005-0004-bc88714345d2</vt:lpwstr>
  </property>
  <property fmtid="{D5CDD505-2E9C-101B-9397-08002B2CF9AE}" pid="6" name="MSIP_Label_fb276786-cf20-4f9d-b5c6-e06f7f4594c5_SiteId">
    <vt:lpwstr>d884ae64-32b1-4130-a449-4aa655c9a330</vt:lpwstr>
  </property>
  <property fmtid="{D5CDD505-2E9C-101B-9397-08002B2CF9AE}" pid="7" name="MSIP_Label_fb276786-cf20-4f9d-b5c6-e06f7f4594c5_ActionId">
    <vt:lpwstr>a789d0ec-b55d-4b38-b7bc-54612c3698d1</vt:lpwstr>
  </property>
  <property fmtid="{D5CDD505-2E9C-101B-9397-08002B2CF9AE}" pid="8" name="MSIP_Label_fb276786-cf20-4f9d-b5c6-e06f7f4594c5_ContentBits">
    <vt:lpwstr>0</vt:lpwstr>
  </property>
</Properties>
</file>